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BC3EE6B" w:rsidR="00254ABF" w:rsidRPr="005D2E4B" w:rsidRDefault="2180E982" w:rsidP="005D2E4B">
      <w:pPr>
        <w:pStyle w:val="Heading1"/>
        <w:jc w:val="center"/>
        <w:rPr>
          <w:rFonts w:ascii="Calibri Light" w:hAnsi="Calibri Light" w:cs="Calibri Light"/>
          <w:sz w:val="32"/>
          <w:szCs w:val="32"/>
        </w:rPr>
      </w:pPr>
      <w:r w:rsidRPr="005D2E4B">
        <w:rPr>
          <w:rFonts w:ascii="Calibri Light" w:hAnsi="Calibri Light" w:cs="Calibri Light"/>
          <w:sz w:val="32"/>
          <w:szCs w:val="32"/>
        </w:rPr>
        <w:t xml:space="preserve">Chapter 1: </w:t>
      </w:r>
      <w:r w:rsidR="000F141A" w:rsidRPr="005D2E4B">
        <w:rPr>
          <w:rFonts w:ascii="Calibri Light" w:hAnsi="Calibri Light" w:cs="Calibri Light"/>
          <w:sz w:val="32"/>
          <w:szCs w:val="32"/>
        </w:rPr>
        <w:t>Introduction to Research as Inquiry</w:t>
      </w:r>
      <w:r w:rsidR="239DBFCD" w:rsidRPr="005D2E4B">
        <w:rPr>
          <w:rFonts w:ascii="Calibri Light" w:hAnsi="Calibri Light" w:cs="Calibri Light"/>
          <w:sz w:val="32"/>
          <w:szCs w:val="32"/>
        </w:rPr>
        <w:t xml:space="preserve"> as Framed by the </w:t>
      </w:r>
      <w:r w:rsidR="000F141A" w:rsidRPr="005D2E4B">
        <w:rPr>
          <w:rFonts w:ascii="Calibri Light" w:hAnsi="Calibri Light" w:cs="Calibri Light"/>
          <w:sz w:val="32"/>
          <w:szCs w:val="32"/>
        </w:rPr>
        <w:t xml:space="preserve">Association of College &amp; Research Libraries </w:t>
      </w:r>
      <w:r w:rsidR="1E0580C1" w:rsidRPr="005D2E4B">
        <w:rPr>
          <w:rFonts w:ascii="Calibri Light" w:hAnsi="Calibri Light" w:cs="Calibri Light"/>
          <w:sz w:val="32"/>
          <w:szCs w:val="32"/>
        </w:rPr>
        <w:t xml:space="preserve">on </w:t>
      </w:r>
      <w:r w:rsidR="000F141A" w:rsidRPr="005D2E4B">
        <w:rPr>
          <w:rFonts w:ascii="Calibri Light" w:hAnsi="Calibri Light" w:cs="Calibri Light"/>
          <w:sz w:val="32"/>
          <w:szCs w:val="32"/>
        </w:rPr>
        <w:t>Information Literacy</w:t>
      </w:r>
    </w:p>
    <w:p w14:paraId="00000002" w14:textId="60C5A9D9" w:rsidR="00254ABF" w:rsidRPr="005D2E4B" w:rsidRDefault="000F141A" w:rsidP="005D2E4B">
      <w:pPr>
        <w:pStyle w:val="Heading1"/>
        <w:jc w:val="center"/>
        <w:rPr>
          <w:rFonts w:ascii="Calibri Light" w:hAnsi="Calibri Light" w:cs="Calibri Light"/>
          <w:sz w:val="32"/>
          <w:szCs w:val="32"/>
        </w:rPr>
      </w:pPr>
      <w:r w:rsidRPr="005D2E4B">
        <w:rPr>
          <w:rFonts w:ascii="Calibri Light" w:hAnsi="Calibri Light" w:cs="Calibri Light"/>
          <w:sz w:val="32"/>
          <w:szCs w:val="32"/>
        </w:rPr>
        <w:t>Laura K. Clark Hunt, Ph.D.</w:t>
      </w:r>
    </w:p>
    <w:p w14:paraId="00000003" w14:textId="7F236B1F" w:rsidR="00254ABF" w:rsidRPr="005D2E4B" w:rsidRDefault="00D7599B" w:rsidP="005D2E4B">
      <w:pPr>
        <w:pStyle w:val="Heading1"/>
        <w:jc w:val="center"/>
        <w:rPr>
          <w:rFonts w:ascii="Calibri Light" w:hAnsi="Calibri Light" w:cs="Calibri Light"/>
          <w:sz w:val="32"/>
          <w:szCs w:val="32"/>
        </w:rPr>
      </w:pPr>
      <w:r>
        <w:rPr>
          <w:rFonts w:ascii="Calibri Light" w:hAnsi="Calibri Light" w:cs="Calibri Light"/>
          <w:sz w:val="32"/>
          <w:szCs w:val="32"/>
        </w:rPr>
        <w:t>Abraham Baldwin Agricultural College</w:t>
      </w:r>
    </w:p>
    <w:p w14:paraId="00000004" w14:textId="77777777" w:rsidR="00254ABF" w:rsidRDefault="000F141A">
      <w:pPr>
        <w:spacing w:before="240" w:after="240"/>
        <w:jc w:val="center"/>
        <w:rPr>
          <w:rFonts w:ascii="Times New Roman" w:eastAsia="Times New Roman" w:hAnsi="Times New Roman" w:cs="Times New Roman"/>
        </w:rPr>
      </w:pPr>
      <w:r>
        <w:rPr>
          <w:rFonts w:ascii="Times New Roman" w:eastAsia="Times New Roman" w:hAnsi="Times New Roman" w:cs="Times New Roman"/>
        </w:rPr>
        <w:t xml:space="preserve"> </w:t>
      </w:r>
    </w:p>
    <w:p w14:paraId="00000005" w14:textId="77777777" w:rsidR="00254ABF" w:rsidRDefault="000F141A">
      <w:pPr>
        <w:spacing w:before="240" w:after="240"/>
        <w:jc w:val="center"/>
      </w:pPr>
      <w:r>
        <w:t xml:space="preserve"> </w:t>
      </w:r>
    </w:p>
    <w:p w14:paraId="00000006" w14:textId="77777777" w:rsidR="00254ABF" w:rsidRDefault="000F141A">
      <w:pPr>
        <w:spacing w:before="240" w:after="240"/>
        <w:jc w:val="center"/>
      </w:pPr>
      <w:r>
        <w:t xml:space="preserve"> </w:t>
      </w:r>
    </w:p>
    <w:p w14:paraId="00000007" w14:textId="77777777" w:rsidR="00254ABF" w:rsidRDefault="000F141A">
      <w:pPr>
        <w:spacing w:before="240" w:after="240"/>
        <w:jc w:val="center"/>
      </w:pPr>
      <w:r>
        <w:t xml:space="preserve"> </w:t>
      </w:r>
    </w:p>
    <w:p w14:paraId="00000008" w14:textId="77777777" w:rsidR="00254ABF" w:rsidRDefault="000F141A">
      <w:pPr>
        <w:spacing w:before="240" w:after="240"/>
        <w:jc w:val="center"/>
      </w:pPr>
      <w:r>
        <w:t xml:space="preserve"> </w:t>
      </w:r>
    </w:p>
    <w:p w14:paraId="00000009" w14:textId="77777777" w:rsidR="00254ABF" w:rsidRDefault="000F141A">
      <w:pPr>
        <w:spacing w:before="240" w:after="240"/>
        <w:jc w:val="center"/>
      </w:pPr>
      <w:r>
        <w:t xml:space="preserve"> </w:t>
      </w:r>
    </w:p>
    <w:p w14:paraId="0000000A" w14:textId="77777777" w:rsidR="00254ABF" w:rsidRDefault="000F141A">
      <w:pPr>
        <w:spacing w:before="240" w:after="240"/>
        <w:jc w:val="center"/>
      </w:pPr>
      <w:r>
        <w:t xml:space="preserve"> </w:t>
      </w:r>
    </w:p>
    <w:p w14:paraId="0000000B" w14:textId="77777777" w:rsidR="00254ABF" w:rsidRDefault="000F141A">
      <w:pPr>
        <w:spacing w:before="240" w:after="240"/>
        <w:jc w:val="center"/>
      </w:pPr>
      <w:r>
        <w:t xml:space="preserve"> </w:t>
      </w:r>
    </w:p>
    <w:p w14:paraId="0000000C" w14:textId="77777777" w:rsidR="00254ABF" w:rsidRDefault="000F141A">
      <w:pPr>
        <w:spacing w:before="240" w:after="240"/>
        <w:jc w:val="center"/>
      </w:pPr>
      <w:r>
        <w:t xml:space="preserve"> </w:t>
      </w:r>
    </w:p>
    <w:p w14:paraId="0000000D" w14:textId="77777777" w:rsidR="00254ABF" w:rsidRDefault="000F141A">
      <w:pPr>
        <w:spacing w:before="240" w:after="240"/>
        <w:jc w:val="center"/>
      </w:pPr>
      <w:r>
        <w:t xml:space="preserve"> </w:t>
      </w:r>
    </w:p>
    <w:p w14:paraId="0000000E" w14:textId="77777777" w:rsidR="00254ABF" w:rsidRDefault="000F141A">
      <w:pPr>
        <w:spacing w:before="240" w:after="240"/>
        <w:jc w:val="center"/>
      </w:pPr>
      <w:r>
        <w:t xml:space="preserve"> </w:t>
      </w:r>
    </w:p>
    <w:p w14:paraId="0000000F" w14:textId="77777777" w:rsidR="00254ABF" w:rsidRDefault="000F141A">
      <w:pPr>
        <w:spacing w:before="240" w:after="240"/>
        <w:jc w:val="center"/>
      </w:pPr>
      <w:r>
        <w:t xml:space="preserve"> </w:t>
      </w:r>
    </w:p>
    <w:p w14:paraId="00000010" w14:textId="77777777" w:rsidR="00254ABF" w:rsidRDefault="000F141A">
      <w:pPr>
        <w:spacing w:before="240" w:after="240"/>
        <w:jc w:val="center"/>
      </w:pPr>
      <w:r>
        <w:t xml:space="preserve"> </w:t>
      </w:r>
    </w:p>
    <w:p w14:paraId="00000011" w14:textId="77777777" w:rsidR="00254ABF" w:rsidRDefault="000F141A">
      <w:pPr>
        <w:spacing w:before="240" w:after="240"/>
        <w:jc w:val="center"/>
      </w:pPr>
      <w:r>
        <w:t xml:space="preserve"> </w:t>
      </w:r>
    </w:p>
    <w:p w14:paraId="00000012" w14:textId="77777777" w:rsidR="00254ABF" w:rsidRDefault="000F141A">
      <w:pPr>
        <w:spacing w:before="240" w:after="240"/>
        <w:jc w:val="center"/>
      </w:pPr>
      <w:r>
        <w:t xml:space="preserve"> </w:t>
      </w:r>
    </w:p>
    <w:p w14:paraId="00000013" w14:textId="77777777" w:rsidR="00254ABF" w:rsidRDefault="000F141A">
      <w:pPr>
        <w:spacing w:before="240" w:after="240"/>
        <w:jc w:val="center"/>
      </w:pPr>
      <w:r>
        <w:t xml:space="preserve"> </w:t>
      </w:r>
    </w:p>
    <w:p w14:paraId="00000014" w14:textId="77777777" w:rsidR="00254ABF" w:rsidRDefault="000F141A">
      <w:pPr>
        <w:spacing w:before="240" w:after="240"/>
        <w:jc w:val="center"/>
      </w:pPr>
      <w:r>
        <w:t xml:space="preserve"> </w:t>
      </w:r>
    </w:p>
    <w:p w14:paraId="00000015" w14:textId="77777777" w:rsidR="00254ABF" w:rsidRDefault="000F141A">
      <w:pPr>
        <w:spacing w:before="240" w:after="240"/>
        <w:jc w:val="center"/>
      </w:pPr>
      <w:r>
        <w:t xml:space="preserve"> </w:t>
      </w:r>
    </w:p>
    <w:p w14:paraId="00000019" w14:textId="6AA1AAF7" w:rsidR="00254ABF" w:rsidRDefault="000F141A" w:rsidP="009F7C4D">
      <w:pPr>
        <w:spacing w:before="240" w:after="240"/>
        <w:jc w:val="center"/>
      </w:pPr>
      <w:r>
        <w:lastRenderedPageBreak/>
        <w:t xml:space="preserve">   </w:t>
      </w:r>
    </w:p>
    <w:p w14:paraId="0000001A" w14:textId="77777777" w:rsidR="00254ABF" w:rsidRPr="009F7C4D" w:rsidRDefault="000F141A">
      <w:pPr>
        <w:spacing w:before="240" w:after="240" w:line="480" w:lineRule="auto"/>
        <w:rPr>
          <w:rFonts w:ascii="Calibri Light" w:eastAsia="Times New Roman" w:hAnsi="Calibri Light" w:cs="Calibri Light"/>
          <w:sz w:val="26"/>
          <w:szCs w:val="26"/>
        </w:rPr>
      </w:pPr>
      <w:r w:rsidRPr="009F7C4D">
        <w:rPr>
          <w:rFonts w:ascii="Calibri Light" w:eastAsia="Times New Roman" w:hAnsi="Calibri Light" w:cs="Calibri Light"/>
          <w:sz w:val="26"/>
          <w:szCs w:val="26"/>
        </w:rPr>
        <w:t xml:space="preserve">Introduction </w:t>
      </w:r>
    </w:p>
    <w:p w14:paraId="0000001B" w14:textId="77777777" w:rsidR="00254ABF" w:rsidRPr="005D2E4B" w:rsidRDefault="000F141A">
      <w:pPr>
        <w:spacing w:before="240" w:after="240" w:line="480" w:lineRule="auto"/>
        <w:rPr>
          <w:rFonts w:ascii="Calibri" w:eastAsia="Times New Roman" w:hAnsi="Calibri" w:cs="Calibri"/>
        </w:rPr>
      </w:pPr>
      <w:r>
        <w:tab/>
      </w:r>
      <w:r w:rsidRPr="005D2E4B">
        <w:rPr>
          <w:rFonts w:ascii="Calibri" w:eastAsia="Times New Roman" w:hAnsi="Calibri" w:cs="Calibri"/>
        </w:rPr>
        <w:t xml:space="preserve">The term information literacy has an ever-increasing definition that is being adapted daily as our lives are being inundated with more information.  The Association of College and Research Libraries (ACRL) have worked tirelessly to help equip institutions of higher learning with tools to empower students to become experts at information literacy that is now necessary for success in their occupation, quality of life, and lifelong learning. The current standards have been adapted over and over to account for the dynamic nature of information and diverse needs of students (ACRL, 2015). Unfortunately, accrediting bodies that ensure standards of excellence are met by colleges that have not addressed the gaps and changes college libraries are facing with the resources necessary to ensure information literacy is adequately covered in the curriculum. </w:t>
      </w:r>
    </w:p>
    <w:p w14:paraId="0000001C" w14:textId="77777777" w:rsidR="00254ABF" w:rsidRPr="005D2E4B" w:rsidRDefault="000F141A">
      <w:pPr>
        <w:spacing w:before="240" w:after="240" w:line="480" w:lineRule="auto"/>
        <w:rPr>
          <w:rFonts w:ascii="Calibri" w:eastAsia="Times New Roman" w:hAnsi="Calibri" w:cs="Calibri"/>
        </w:rPr>
      </w:pPr>
      <w:r w:rsidRPr="005D2E4B">
        <w:rPr>
          <w:rFonts w:ascii="Calibri" w:hAnsi="Calibri" w:cs="Calibri"/>
        </w:rPr>
        <w:tab/>
      </w:r>
      <w:r w:rsidRPr="005D2E4B">
        <w:rPr>
          <w:rFonts w:ascii="Calibri" w:eastAsia="Times New Roman" w:hAnsi="Calibri" w:cs="Calibri"/>
        </w:rPr>
        <w:t xml:space="preserve">In most studies and publications on best practices, researchers recommend embedded librarians work with courses that have either a research objective or writing requirement. While this is ideal, college libraries are being faced with budget constraints and fewer professional staff members to meet the challenges. Some larger colleges are not experiencing this phenomenon as much as smaller institutions, but the hiring trends and budget allocations per full time student provides a grim view of support. Also, ideally you will see an embedded librarian with an undergraduate degree or second master's degree in the field where they are currently embedded. This best practice is becoming harder for smaller colleges to accomplish. Instead, we see librarians at smaller institutions supporting all programs and learning about new disciplines in short periods of time to support the college faculty and students.  </w:t>
      </w:r>
    </w:p>
    <w:p w14:paraId="0000001D" w14:textId="77777777" w:rsidR="00254ABF" w:rsidRPr="005D2E4B" w:rsidRDefault="000F141A">
      <w:pPr>
        <w:spacing w:before="240" w:after="240" w:line="480" w:lineRule="auto"/>
        <w:rPr>
          <w:rFonts w:ascii="Calibri" w:eastAsia="Times New Roman" w:hAnsi="Calibri" w:cs="Calibri"/>
        </w:rPr>
      </w:pPr>
      <w:r w:rsidRPr="005D2E4B">
        <w:rPr>
          <w:rFonts w:ascii="Calibri" w:hAnsi="Calibri" w:cs="Calibri"/>
        </w:rPr>
        <w:tab/>
      </w:r>
      <w:r w:rsidRPr="005D2E4B">
        <w:rPr>
          <w:rFonts w:ascii="Calibri" w:eastAsia="Times New Roman" w:hAnsi="Calibri" w:cs="Calibri"/>
        </w:rPr>
        <w:t xml:space="preserve">The lack of resources both from a financial and personnel standpoint in our college's libraries has forced many faculty members to take on teaching information literacy in their courses without a </w:t>
      </w:r>
      <w:r w:rsidRPr="005D2E4B">
        <w:rPr>
          <w:rFonts w:ascii="Calibri" w:eastAsia="Times New Roman" w:hAnsi="Calibri" w:cs="Calibri"/>
        </w:rPr>
        <w:lastRenderedPageBreak/>
        <w:t xml:space="preserve">great deal of support from a librarian much less actually having a librarian embedded in the course. This body of literature is to help support librarians and faculty that might not otherwise be able to incorporate information literacy into their curricula. Faculty are busy and work tirelessly with students to help them achieve context knowledge for the course. Dedicated faculty members are now responding to the critical needs of students to gain information literacy skills sometimes without more than a one-shot instruction from the college librarian. “However, it is the faculty members who design courses and who are best situated to communicate disciplinary values and the frameworks for critically evaluating the concepts, methods, and conclusions of those who engage disciplinary problems” (Stranger, 2010).  It is imperative to have faculty involved in the college discourse on information literacy. Sometimes librarians forget that faculty are the content experts and are an important component in reaching students with information literacy. Without faculty buy-in, librarians must trust the students to seek out help with research and searching.  </w:t>
      </w:r>
    </w:p>
    <w:p w14:paraId="0000001E" w14:textId="77777777" w:rsidR="00254ABF" w:rsidRPr="005D2E4B" w:rsidRDefault="000F141A">
      <w:pPr>
        <w:spacing w:before="240" w:after="240" w:line="480" w:lineRule="auto"/>
        <w:ind w:firstLine="720"/>
        <w:rPr>
          <w:rFonts w:ascii="Calibri" w:hAnsi="Calibri" w:cs="Calibri"/>
        </w:rPr>
      </w:pPr>
      <w:r w:rsidRPr="005D2E4B">
        <w:rPr>
          <w:rFonts w:ascii="Calibri" w:eastAsia="Times New Roman" w:hAnsi="Calibri" w:cs="Calibri"/>
        </w:rPr>
        <w:t>Librarians are well-equipped to help faculty with activity suggestions for classes. The issue with this is that most faculty do not think about the librarians when it comes to developing their course’s curricula. The dialog between librarian and faculty must be one where the advocacy and coaching takes place. This can be difficult for librarians who are experiencing staff shortages and cuts in the university budget. “Librarians can be models for good teaching practice, while not being teachers themselves, in that they can use innovative and creative teaching methods to explore thresh-old concepts such as Information Has Value, which is a concept that can be interrelated with many disciplines and specific subjects” (</w:t>
      </w:r>
      <w:proofErr w:type="spellStart"/>
      <w:r w:rsidRPr="005D2E4B">
        <w:rPr>
          <w:rFonts w:ascii="Calibri" w:eastAsia="Times New Roman" w:hAnsi="Calibri" w:cs="Calibri"/>
        </w:rPr>
        <w:t>Godbey</w:t>
      </w:r>
      <w:proofErr w:type="spellEnd"/>
      <w:r w:rsidRPr="005D2E4B">
        <w:rPr>
          <w:rFonts w:ascii="Calibri" w:eastAsia="Times New Roman" w:hAnsi="Calibri" w:cs="Calibri"/>
        </w:rPr>
        <w:t xml:space="preserve">, </w:t>
      </w:r>
      <w:proofErr w:type="spellStart"/>
      <w:r w:rsidRPr="005D2E4B">
        <w:rPr>
          <w:rFonts w:ascii="Calibri" w:eastAsia="Times New Roman" w:hAnsi="Calibri" w:cs="Calibri"/>
        </w:rPr>
        <w:t>Wainscott</w:t>
      </w:r>
      <w:proofErr w:type="spellEnd"/>
      <w:r w:rsidRPr="005D2E4B">
        <w:rPr>
          <w:rFonts w:ascii="Calibri" w:eastAsia="Times New Roman" w:hAnsi="Calibri" w:cs="Calibri"/>
        </w:rPr>
        <w:t>, &amp; Goodman, 2017).</w:t>
      </w:r>
    </w:p>
    <w:p w14:paraId="0000001F" w14:textId="6C5DEEDE" w:rsidR="00254ABF" w:rsidRPr="005D2E4B" w:rsidRDefault="000F141A">
      <w:pPr>
        <w:spacing w:before="240" w:after="240" w:line="480" w:lineRule="auto"/>
        <w:ind w:firstLine="720"/>
        <w:rPr>
          <w:rFonts w:ascii="Calibri" w:eastAsia="Times New Roman" w:hAnsi="Calibri" w:cs="Calibri"/>
        </w:rPr>
      </w:pPr>
      <w:r w:rsidRPr="005D2E4B">
        <w:rPr>
          <w:rFonts w:ascii="Calibri" w:eastAsia="Times New Roman" w:hAnsi="Calibri" w:cs="Calibri"/>
        </w:rPr>
        <w:t xml:space="preserve">Essentially, students need to leave college programming being able to function successfully in a community of practice. The community of practice might be a graduate program or a job situation. This has potential in influencing employers' view of hiring new graduates. </w:t>
      </w:r>
      <w:r w:rsidR="009F7C4D" w:rsidRPr="005D2E4B">
        <w:rPr>
          <w:rFonts w:ascii="Calibri" w:eastAsia="Times New Roman" w:hAnsi="Calibri" w:cs="Calibri"/>
        </w:rPr>
        <w:t>Hire</w:t>
      </w:r>
      <w:r w:rsidR="009F7C4D">
        <w:rPr>
          <w:rFonts w:ascii="Calibri" w:eastAsia="Times New Roman" w:hAnsi="Calibri" w:cs="Calibri"/>
        </w:rPr>
        <w:t>-</w:t>
      </w:r>
      <w:r w:rsidR="009F7C4D" w:rsidRPr="005D2E4B">
        <w:rPr>
          <w:rFonts w:ascii="Calibri" w:eastAsia="Times New Roman" w:hAnsi="Calibri" w:cs="Calibri"/>
        </w:rPr>
        <w:t>ability</w:t>
      </w:r>
      <w:r w:rsidRPr="005D2E4B">
        <w:rPr>
          <w:rFonts w:ascii="Calibri" w:eastAsia="Times New Roman" w:hAnsi="Calibri" w:cs="Calibri"/>
        </w:rPr>
        <w:t xml:space="preserve"> has </w:t>
      </w:r>
      <w:proofErr w:type="gramStart"/>
      <w:r w:rsidRPr="005D2E4B">
        <w:rPr>
          <w:rFonts w:ascii="Calibri" w:eastAsia="Times New Roman" w:hAnsi="Calibri" w:cs="Calibri"/>
        </w:rPr>
        <w:t>definitely become</w:t>
      </w:r>
      <w:proofErr w:type="gramEnd"/>
      <w:r w:rsidRPr="005D2E4B">
        <w:rPr>
          <w:rFonts w:ascii="Calibri" w:eastAsia="Times New Roman" w:hAnsi="Calibri" w:cs="Calibri"/>
        </w:rPr>
        <w:t xml:space="preserve"> a </w:t>
      </w:r>
      <w:r w:rsidRPr="005D2E4B">
        <w:rPr>
          <w:rFonts w:ascii="Calibri" w:eastAsia="Times New Roman" w:hAnsi="Calibri" w:cs="Calibri"/>
        </w:rPr>
        <w:lastRenderedPageBreak/>
        <w:t xml:space="preserve">concern for individuals looking at different programs and colleges. Ultimately information literate individuals make better citizens that </w:t>
      </w:r>
      <w:proofErr w:type="gramStart"/>
      <w:r w:rsidRPr="005D2E4B">
        <w:rPr>
          <w:rFonts w:ascii="Calibri" w:eastAsia="Times New Roman" w:hAnsi="Calibri" w:cs="Calibri"/>
        </w:rPr>
        <w:t>are able to</w:t>
      </w:r>
      <w:proofErr w:type="gramEnd"/>
      <w:r w:rsidRPr="005D2E4B">
        <w:rPr>
          <w:rFonts w:ascii="Calibri" w:eastAsia="Times New Roman" w:hAnsi="Calibri" w:cs="Calibri"/>
        </w:rPr>
        <w:t xml:space="preserve"> utilize information by locating, evaluating, and using information based on need. Information literacy is a foundational skill that </w:t>
      </w:r>
      <w:proofErr w:type="gramStart"/>
      <w:r w:rsidRPr="005D2E4B">
        <w:rPr>
          <w:rFonts w:ascii="Calibri" w:eastAsia="Times New Roman" w:hAnsi="Calibri" w:cs="Calibri"/>
        </w:rPr>
        <w:t>benefits society as a whole</w:t>
      </w:r>
      <w:proofErr w:type="gramEnd"/>
      <w:r w:rsidRPr="005D2E4B">
        <w:rPr>
          <w:rFonts w:ascii="Calibri" w:eastAsia="Times New Roman" w:hAnsi="Calibri" w:cs="Calibri"/>
        </w:rPr>
        <w:t>. Lifelong learning is an intrinsically motivated force that supports real-world endeavors, employment activities, and educational pursuits (</w:t>
      </w:r>
      <w:proofErr w:type="spellStart"/>
      <w:r w:rsidRPr="005D2E4B">
        <w:rPr>
          <w:rFonts w:ascii="Calibri" w:eastAsia="Times New Roman" w:hAnsi="Calibri" w:cs="Calibri"/>
        </w:rPr>
        <w:t>Currano</w:t>
      </w:r>
      <w:proofErr w:type="spellEnd"/>
      <w:r w:rsidRPr="005D2E4B">
        <w:rPr>
          <w:rFonts w:ascii="Calibri" w:eastAsia="Times New Roman" w:hAnsi="Calibri" w:cs="Calibri"/>
        </w:rPr>
        <w:t>, 2016). The process of discovering and evaluating the results suggests the goal courses should be to not just focus on critical thinking but also for students to have critical consciousness evolve over time. “Critical consciousness is critical thinking about the self (</w:t>
      </w:r>
      <w:proofErr w:type="spellStart"/>
      <w:r w:rsidRPr="005D2E4B">
        <w:rPr>
          <w:rFonts w:ascii="Calibri" w:eastAsia="Times New Roman" w:hAnsi="Calibri" w:cs="Calibri"/>
        </w:rPr>
        <w:t>Wittebols</w:t>
      </w:r>
      <w:proofErr w:type="spellEnd"/>
      <w:r w:rsidRPr="005D2E4B">
        <w:rPr>
          <w:rFonts w:ascii="Calibri" w:eastAsia="Times New Roman" w:hAnsi="Calibri" w:cs="Calibri"/>
        </w:rPr>
        <w:t>, 2020).</w:t>
      </w:r>
    </w:p>
    <w:p w14:paraId="00000020" w14:textId="77777777" w:rsidR="00254ABF" w:rsidRPr="005D2E4B" w:rsidRDefault="000F141A">
      <w:pPr>
        <w:spacing w:before="240" w:after="240" w:line="480" w:lineRule="auto"/>
        <w:ind w:firstLine="720"/>
        <w:rPr>
          <w:rFonts w:ascii="Calibri" w:eastAsia="Times New Roman" w:hAnsi="Calibri" w:cs="Calibri"/>
        </w:rPr>
      </w:pPr>
      <w:r w:rsidRPr="005D2E4B">
        <w:rPr>
          <w:rFonts w:ascii="Calibri" w:eastAsia="Times New Roman" w:hAnsi="Calibri" w:cs="Calibri"/>
        </w:rPr>
        <w:t>Studies by Gross and Latham (2012) suggest undergraduate students are overly confident in their ability to find information and critically analyze how it is best applied. The process of search is vital to undergraduates obtaining information literacy skills (Gross &amp; Latham, 2009). Understanding the standards and relevance of information literacy was very important for students when developing information literacy skills.  “Within the hard sciences, good writers will clearly and concisely convey information, support their statements with data, incorporate credible outside sources as needed, and properly cite information from outside sources” (</w:t>
      </w:r>
      <w:r w:rsidRPr="005D2E4B">
        <w:rPr>
          <w:rFonts w:ascii="Calibri" w:eastAsia="Times New Roman" w:hAnsi="Calibri" w:cs="Calibri"/>
          <w:color w:val="222222"/>
          <w:highlight w:val="white"/>
        </w:rPr>
        <w:t xml:space="preserve">Thompson &amp; </w:t>
      </w:r>
      <w:proofErr w:type="spellStart"/>
      <w:r w:rsidRPr="005D2E4B">
        <w:rPr>
          <w:rFonts w:ascii="Calibri" w:eastAsia="Times New Roman" w:hAnsi="Calibri" w:cs="Calibri"/>
          <w:color w:val="222222"/>
          <w:highlight w:val="white"/>
        </w:rPr>
        <w:t>Blankinship</w:t>
      </w:r>
      <w:proofErr w:type="spellEnd"/>
      <w:r w:rsidRPr="005D2E4B">
        <w:rPr>
          <w:rFonts w:ascii="Calibri" w:eastAsia="Times New Roman" w:hAnsi="Calibri" w:cs="Calibri"/>
          <w:color w:val="222222"/>
          <w:highlight w:val="white"/>
        </w:rPr>
        <w:t>, 2015, p. 29</w:t>
      </w:r>
      <w:proofErr w:type="gramStart"/>
      <w:r w:rsidRPr="005D2E4B">
        <w:rPr>
          <w:rFonts w:ascii="Calibri" w:eastAsia="Times New Roman" w:hAnsi="Calibri" w:cs="Calibri"/>
          <w:color w:val="222222"/>
          <w:highlight w:val="white"/>
        </w:rPr>
        <w:t>)</w:t>
      </w:r>
      <w:r w:rsidRPr="005D2E4B">
        <w:rPr>
          <w:rFonts w:ascii="Calibri" w:eastAsia="Times New Roman" w:hAnsi="Calibri" w:cs="Calibri"/>
        </w:rPr>
        <w:t xml:space="preserve"> .</w:t>
      </w:r>
      <w:proofErr w:type="gramEnd"/>
      <w:r w:rsidRPr="005D2E4B">
        <w:rPr>
          <w:rFonts w:ascii="Calibri" w:eastAsia="Times New Roman" w:hAnsi="Calibri" w:cs="Calibri"/>
        </w:rPr>
        <w:t xml:space="preserve">  </w:t>
      </w:r>
    </w:p>
    <w:p w14:paraId="00000021" w14:textId="77777777" w:rsidR="00254ABF" w:rsidRPr="005D2E4B" w:rsidRDefault="000F141A">
      <w:pPr>
        <w:spacing w:before="240" w:after="240" w:line="480" w:lineRule="auto"/>
        <w:ind w:firstLine="720"/>
        <w:rPr>
          <w:rFonts w:ascii="Calibri" w:hAnsi="Calibri" w:cs="Calibri"/>
        </w:rPr>
      </w:pPr>
      <w:r w:rsidRPr="005D2E4B">
        <w:rPr>
          <w:rFonts w:ascii="Calibri" w:eastAsia="Times New Roman" w:hAnsi="Calibri" w:cs="Calibri"/>
        </w:rPr>
        <w:t xml:space="preserve">In 2000, the ACRL said that individuals that could perform the following tasks were </w:t>
      </w:r>
      <w:r w:rsidRPr="005D2E4B">
        <w:rPr>
          <w:rFonts w:ascii="Calibri" w:eastAsia="Times New Roman" w:hAnsi="Calibri" w:cs="Calibri"/>
          <w:i/>
        </w:rPr>
        <w:t>information literate</w:t>
      </w:r>
      <w:r w:rsidRPr="005D2E4B">
        <w:rPr>
          <w:rFonts w:ascii="Calibri" w:eastAsia="Times New Roman" w:hAnsi="Calibri" w:cs="Calibri"/>
        </w:rPr>
        <w:t xml:space="preserve">: decide how much information was needed, find the information, critically evaluate the sources, select information, use information effectively, and understand the issues surrounding the information (legal, ethics, economics, etc.). These standards were adopted in 2015 were to be more flexible and include broad ideologies established as overarching concepts. These ACRL standards included the following: “Research as Inquiry, Authority is Constructed and Contextual, Information Creation as a Process, Searching as Strategic Exploration, Information Has Value, and Scholarship as Conversation” (ACRL, 2015).  These new standards prescribe a path for exploration instead of a </w:t>
      </w:r>
      <w:proofErr w:type="gramStart"/>
      <w:r w:rsidRPr="005D2E4B">
        <w:rPr>
          <w:rFonts w:ascii="Calibri" w:eastAsia="Times New Roman" w:hAnsi="Calibri" w:cs="Calibri"/>
        </w:rPr>
        <w:t>step by step</w:t>
      </w:r>
      <w:proofErr w:type="gramEnd"/>
      <w:r w:rsidRPr="005D2E4B">
        <w:rPr>
          <w:rFonts w:ascii="Calibri" w:eastAsia="Times New Roman" w:hAnsi="Calibri" w:cs="Calibri"/>
        </w:rPr>
        <w:t xml:space="preserve"> list. This </w:t>
      </w:r>
      <w:r w:rsidRPr="005D2E4B">
        <w:rPr>
          <w:rFonts w:ascii="Calibri" w:eastAsia="Times New Roman" w:hAnsi="Calibri" w:cs="Calibri"/>
        </w:rPr>
        <w:lastRenderedPageBreak/>
        <w:t xml:space="preserve">lends itself to creating conversations between librarians and faculty on how to address learning in a more organic way that meets the needs of the discipline, course, and student. This holistic way of addressing information literacy in the classroom becomes a way of thinking. </w:t>
      </w:r>
      <w:r w:rsidRPr="005D2E4B">
        <w:rPr>
          <w:rFonts w:ascii="Calibri" w:hAnsi="Calibri" w:cs="Calibri"/>
        </w:rPr>
        <w:tab/>
      </w:r>
    </w:p>
    <w:p w14:paraId="00000022" w14:textId="77777777" w:rsidR="00254ABF" w:rsidRPr="005D2E4B" w:rsidRDefault="000F141A">
      <w:pPr>
        <w:spacing w:before="240" w:after="240" w:line="480" w:lineRule="auto"/>
        <w:ind w:firstLine="720"/>
        <w:rPr>
          <w:rFonts w:ascii="Calibri" w:eastAsia="Times New Roman" w:hAnsi="Calibri" w:cs="Calibri"/>
        </w:rPr>
      </w:pPr>
      <w:r w:rsidRPr="005D2E4B">
        <w:rPr>
          <w:rFonts w:ascii="Calibri" w:eastAsia="Times New Roman" w:hAnsi="Calibri" w:cs="Calibri"/>
        </w:rPr>
        <w:t xml:space="preserve">While the ACRL has created a framework for information literacy, this project only addresses </w:t>
      </w:r>
      <w:r w:rsidRPr="005D2E4B">
        <w:rPr>
          <w:rFonts w:ascii="Calibri" w:eastAsia="Times New Roman" w:hAnsi="Calibri" w:cs="Calibri"/>
          <w:i/>
        </w:rPr>
        <w:t>Research as Inquiry</w:t>
      </w:r>
      <w:r w:rsidRPr="005D2E4B">
        <w:rPr>
          <w:rFonts w:ascii="Calibri" w:eastAsia="Times New Roman" w:hAnsi="Calibri" w:cs="Calibri"/>
        </w:rPr>
        <w:t xml:space="preserve">. Research as Inquiry depends upon asking dynamic questions that are complex and require constant revision. These questions lead to more questions and inquiry within the field. Ideas are converted to questions; questions change overtime and create more questions for discovery. The role faculty typically play in this process is one of guidance as the content expert. The faculty helps the student learn how to think within the context of the discipline and put together effective questions that can be answered. Really faculty spearhead the student’s creativity and imagination within a domain of knowledge. </w:t>
      </w:r>
    </w:p>
    <w:p w14:paraId="00000023" w14:textId="77777777" w:rsidR="00254ABF" w:rsidRPr="009F7C4D" w:rsidRDefault="000F141A">
      <w:pPr>
        <w:spacing w:before="240" w:after="240" w:line="480" w:lineRule="auto"/>
        <w:ind w:firstLine="720"/>
        <w:rPr>
          <w:rFonts w:ascii="Calibri Light" w:eastAsia="Times New Roman" w:hAnsi="Calibri Light" w:cs="Calibri Light"/>
          <w:sz w:val="26"/>
          <w:szCs w:val="26"/>
        </w:rPr>
      </w:pPr>
      <w:r w:rsidRPr="009F7C4D">
        <w:rPr>
          <w:rFonts w:ascii="Calibri Light" w:eastAsia="Times New Roman" w:hAnsi="Calibri Light" w:cs="Calibri Light"/>
          <w:sz w:val="26"/>
          <w:szCs w:val="26"/>
        </w:rPr>
        <w:t>Nature of Discipline Specific Information Literacy</w:t>
      </w:r>
    </w:p>
    <w:p w14:paraId="00000024" w14:textId="77777777" w:rsidR="00254ABF" w:rsidRPr="005D2E4B" w:rsidRDefault="000F141A">
      <w:pPr>
        <w:spacing w:before="240" w:after="240" w:line="480" w:lineRule="auto"/>
        <w:ind w:firstLine="720"/>
        <w:rPr>
          <w:rFonts w:ascii="Calibri" w:eastAsia="Times New Roman" w:hAnsi="Calibri" w:cs="Calibri"/>
        </w:rPr>
      </w:pPr>
      <w:r w:rsidRPr="005D2E4B">
        <w:rPr>
          <w:rFonts w:ascii="Calibri" w:eastAsia="Times New Roman" w:hAnsi="Calibri" w:cs="Calibri"/>
        </w:rPr>
        <w:t>Disciplines have shared values and concepts that students master so that they can become a participant within the community of practice. There are written guides for much of this shared knowledge. For example, citing sources in a common format is a practice that most disciplines formally accept. This is also tacit knowledge that is learned by mentorship and experiences that usually come from hands-on learning. “In order to produce information literate undergraduates in a given discipline, information literacy standards must be integrated with the values and processes of the discipline” (</w:t>
      </w:r>
      <w:proofErr w:type="spellStart"/>
      <w:r w:rsidRPr="005D2E4B">
        <w:rPr>
          <w:rFonts w:ascii="Calibri" w:eastAsia="Times New Roman" w:hAnsi="Calibri" w:cs="Calibri"/>
        </w:rPr>
        <w:t>Winterman</w:t>
      </w:r>
      <w:proofErr w:type="spellEnd"/>
      <w:r w:rsidRPr="005D2E4B">
        <w:rPr>
          <w:rFonts w:ascii="Calibri" w:eastAsia="Times New Roman" w:hAnsi="Calibri" w:cs="Calibri"/>
        </w:rPr>
        <w:t xml:space="preserve">, Donovan, &amp; Slough, 2011, p. 38). Information literacy infused into undergraduate curriculum helps the student be better prepared for participating in the community of practice. It is very difficult to view information literacy with generalizable lenses when the very nature of information literacy is contextual to the setting where the information is applied. </w:t>
      </w:r>
    </w:p>
    <w:p w14:paraId="00000025" w14:textId="77777777" w:rsidR="00254ABF" w:rsidRPr="005D2E4B" w:rsidRDefault="000F141A">
      <w:pPr>
        <w:spacing w:before="240" w:after="240" w:line="480" w:lineRule="auto"/>
        <w:ind w:firstLine="720"/>
        <w:rPr>
          <w:rFonts w:ascii="Calibri" w:eastAsia="Times New Roman" w:hAnsi="Calibri" w:cs="Calibri"/>
        </w:rPr>
      </w:pPr>
      <w:r w:rsidRPr="005D2E4B">
        <w:rPr>
          <w:rFonts w:ascii="Calibri" w:eastAsia="Times New Roman" w:hAnsi="Calibri" w:cs="Calibri"/>
        </w:rPr>
        <w:lastRenderedPageBreak/>
        <w:t>This does raise discourse between the generalizability and the discipline specific application of information literacy (</w:t>
      </w:r>
      <w:proofErr w:type="spellStart"/>
      <w:r w:rsidRPr="005D2E4B">
        <w:rPr>
          <w:rFonts w:ascii="Calibri" w:eastAsia="Times New Roman" w:hAnsi="Calibri" w:cs="Calibri"/>
        </w:rPr>
        <w:t>Kuglitsch</w:t>
      </w:r>
      <w:proofErr w:type="spellEnd"/>
      <w:r w:rsidRPr="005D2E4B">
        <w:rPr>
          <w:rFonts w:ascii="Calibri" w:eastAsia="Times New Roman" w:hAnsi="Calibri" w:cs="Calibri"/>
        </w:rPr>
        <w:t xml:space="preserve">, 2015). Many librarians operate under the generalized list of information literacy components listed by ALA. While librarians have a graduate degree, most of the time they are asked to teach information literacy outside the scope of their educational background. Unless the librarian works with someone in the discipline’s community of practice, the librarian will only be able to speak the more common knowledge areas that apply to information literacy. Librarians are experts in information literacy, but they may not be content experts. Sometimes these gaps in understanding can marginalize faculty in disciplines that use terms associated with scientific literacy and numeracy. </w:t>
      </w:r>
    </w:p>
    <w:p w14:paraId="00000026" w14:textId="77777777" w:rsidR="00254ABF" w:rsidRDefault="000F141A">
      <w:pPr>
        <w:spacing w:before="240" w:after="240" w:line="480" w:lineRule="auto"/>
        <w:ind w:firstLine="720"/>
        <w:rPr>
          <w:rFonts w:ascii="Times New Roman" w:eastAsia="Times New Roman" w:hAnsi="Times New Roman" w:cs="Times New Roman"/>
        </w:rPr>
      </w:pPr>
      <w:r w:rsidRPr="005D2E4B">
        <w:rPr>
          <w:rFonts w:ascii="Calibri" w:eastAsia="Times New Roman" w:hAnsi="Calibri" w:cs="Calibri"/>
        </w:rPr>
        <w:t xml:space="preserve">Discipline specific information literacy transferability requires that outcomes for the curriculum be addressed. According to </w:t>
      </w:r>
      <w:proofErr w:type="spellStart"/>
      <w:r w:rsidRPr="005D2E4B">
        <w:rPr>
          <w:rFonts w:ascii="Calibri" w:eastAsia="Times New Roman" w:hAnsi="Calibri" w:cs="Calibri"/>
        </w:rPr>
        <w:t>Kuglitsch</w:t>
      </w:r>
      <w:proofErr w:type="spellEnd"/>
      <w:r w:rsidRPr="005D2E4B">
        <w:rPr>
          <w:rFonts w:ascii="Calibri" w:eastAsia="Times New Roman" w:hAnsi="Calibri" w:cs="Calibri"/>
        </w:rPr>
        <w:t xml:space="preserve"> (2015), if a librarian desires to provide information literacy instruction that goes beyond surface knowledge, the following concepts about a discipline must be understood, metadata, searching databases (designed for the discipline), format, authority, primary sources, information as a commodity, and lastly, the research problem. It is imperative that information literacy concepts are conceptualized for students in a way that incorporates them into the community of practice.   Without a deep meaningful understanding of information literacy within the conceptual environment of the discipline, scientific settings can appear overly simplified. For example, a researcher with a PhD submitting an article for peer review will determine if the article is meaningful and valid, is an oversimplification. “Students may give too much credence to unfamiliar credentials because they sound impressive” (</w:t>
      </w:r>
      <w:proofErr w:type="spellStart"/>
      <w:r w:rsidRPr="005D2E4B">
        <w:rPr>
          <w:rFonts w:ascii="Calibri" w:eastAsia="Times New Roman" w:hAnsi="Calibri" w:cs="Calibri"/>
        </w:rPr>
        <w:t>Kuglitsch</w:t>
      </w:r>
      <w:proofErr w:type="spellEnd"/>
      <w:r w:rsidRPr="005D2E4B">
        <w:rPr>
          <w:rFonts w:ascii="Calibri" w:eastAsia="Times New Roman" w:hAnsi="Calibri" w:cs="Calibri"/>
        </w:rPr>
        <w:t xml:space="preserve">, 2015, p. 463). </w:t>
      </w:r>
    </w:p>
    <w:p w14:paraId="00000027" w14:textId="77777777" w:rsidR="00254ABF" w:rsidRPr="009F7C4D" w:rsidRDefault="000F141A">
      <w:pPr>
        <w:spacing w:before="240" w:after="240" w:line="480" w:lineRule="auto"/>
        <w:ind w:firstLine="720"/>
        <w:rPr>
          <w:rFonts w:ascii="Calibri Light" w:eastAsia="Times New Roman" w:hAnsi="Calibri Light" w:cs="Calibri Light"/>
          <w:sz w:val="26"/>
          <w:szCs w:val="26"/>
        </w:rPr>
      </w:pPr>
      <w:r w:rsidRPr="009F7C4D">
        <w:rPr>
          <w:rFonts w:ascii="Calibri Light" w:eastAsia="Times New Roman" w:hAnsi="Calibri Light" w:cs="Calibri Light"/>
          <w:sz w:val="26"/>
          <w:szCs w:val="26"/>
        </w:rPr>
        <w:t xml:space="preserve">University System of Georgia </w:t>
      </w:r>
    </w:p>
    <w:p w14:paraId="00000028" w14:textId="77777777" w:rsidR="00254ABF" w:rsidRPr="005D2E4B" w:rsidRDefault="000F141A">
      <w:pPr>
        <w:spacing w:before="240" w:after="240" w:line="480" w:lineRule="auto"/>
        <w:ind w:firstLine="720"/>
        <w:rPr>
          <w:rFonts w:ascii="Calibri" w:eastAsia="Times New Roman" w:hAnsi="Calibri" w:cs="Calibri"/>
        </w:rPr>
      </w:pPr>
      <w:r w:rsidRPr="005D2E4B">
        <w:rPr>
          <w:rFonts w:ascii="Calibri" w:eastAsia="Times New Roman" w:hAnsi="Calibri" w:cs="Calibri"/>
        </w:rPr>
        <w:t>One reason information literacy incorporated into college curriculum has become more important in Georgia is due to the redesign of general education within the university system (</w:t>
      </w:r>
      <w:hyperlink r:id="rId6">
        <w:r w:rsidRPr="005D2E4B">
          <w:rPr>
            <w:rFonts w:ascii="Calibri" w:eastAsia="Times New Roman" w:hAnsi="Calibri" w:cs="Calibri"/>
            <w:color w:val="1155CC"/>
            <w:u w:val="single"/>
          </w:rPr>
          <w:t>https://www.usg.edu/redesigned_general_education</w:t>
        </w:r>
      </w:hyperlink>
      <w:r w:rsidRPr="005D2E4B">
        <w:rPr>
          <w:rFonts w:ascii="Calibri" w:eastAsia="Times New Roman" w:hAnsi="Calibri" w:cs="Calibri"/>
        </w:rPr>
        <w:t xml:space="preserve">). The University System of Georgia decided to </w:t>
      </w:r>
      <w:r w:rsidRPr="005D2E4B">
        <w:rPr>
          <w:rFonts w:ascii="Calibri" w:eastAsia="Times New Roman" w:hAnsi="Calibri" w:cs="Calibri"/>
        </w:rPr>
        <w:lastRenderedPageBreak/>
        <w:t xml:space="preserve">create a redesign strategy that focused on student success and completion. Faculty, administrators, and industry leaders were questioned about what skills students needed at graduation to be competition for jobs and lifelong success. Critical thinking skills were one of the major considerations mentioned. Information literacy was noted as a part of the core elements redesign in mathematics, social science, science, and data fluency (Appendix A). This project was born out of the need for librarians and faculty to help support this initiative in a way that could be measured in the classroom with specific outcomes. </w:t>
      </w:r>
    </w:p>
    <w:p w14:paraId="00000029" w14:textId="77777777" w:rsidR="00254ABF" w:rsidRPr="009F7C4D" w:rsidRDefault="000F141A">
      <w:pPr>
        <w:spacing w:before="240" w:after="240" w:line="480" w:lineRule="auto"/>
        <w:ind w:firstLine="720"/>
        <w:rPr>
          <w:rFonts w:ascii="Calibri" w:eastAsia="Times New Roman" w:hAnsi="Calibri" w:cs="Calibri"/>
          <w:bCs/>
          <w:sz w:val="26"/>
          <w:szCs w:val="26"/>
        </w:rPr>
      </w:pPr>
      <w:r w:rsidRPr="009F7C4D">
        <w:rPr>
          <w:rFonts w:ascii="Calibri" w:eastAsia="Times New Roman" w:hAnsi="Calibri" w:cs="Calibri"/>
          <w:bCs/>
          <w:sz w:val="26"/>
          <w:szCs w:val="26"/>
        </w:rPr>
        <w:t xml:space="preserve">Abraham Baldwin Agricultural College </w:t>
      </w:r>
    </w:p>
    <w:p w14:paraId="0000002A" w14:textId="77777777" w:rsidR="00254ABF" w:rsidRPr="005D2E4B" w:rsidRDefault="000F141A">
      <w:pPr>
        <w:spacing w:before="240" w:after="240" w:line="480" w:lineRule="auto"/>
        <w:ind w:firstLine="720"/>
        <w:rPr>
          <w:rFonts w:ascii="Calibri" w:eastAsia="Times New Roman" w:hAnsi="Calibri" w:cs="Calibri"/>
        </w:rPr>
      </w:pPr>
      <w:proofErr w:type="gramStart"/>
      <w:r w:rsidRPr="005D2E4B">
        <w:rPr>
          <w:rFonts w:ascii="Calibri" w:eastAsia="Times New Roman" w:hAnsi="Calibri" w:cs="Calibri"/>
        </w:rPr>
        <w:t>All of</w:t>
      </w:r>
      <w:proofErr w:type="gramEnd"/>
      <w:r w:rsidRPr="005D2E4B">
        <w:rPr>
          <w:rFonts w:ascii="Calibri" w:eastAsia="Times New Roman" w:hAnsi="Calibri" w:cs="Calibri"/>
        </w:rPr>
        <w:t xml:space="preserve"> the faculty members participating in this grant are professors at Abraham Baldwin Agricultural College. It is important to include some information about the college to give the following chapters more context. The information in this project will best support small college librarians and faculty interested in implementing information literacy in the curriculum. </w:t>
      </w:r>
    </w:p>
    <w:p w14:paraId="0000002B" w14:textId="77777777" w:rsidR="00254ABF" w:rsidRPr="005D2E4B" w:rsidRDefault="000F141A">
      <w:pPr>
        <w:spacing w:before="240" w:after="240" w:line="480" w:lineRule="auto"/>
        <w:ind w:firstLine="720"/>
        <w:rPr>
          <w:rFonts w:ascii="Calibri" w:eastAsia="Times New Roman" w:hAnsi="Calibri" w:cs="Calibri"/>
          <w:highlight w:val="white"/>
        </w:rPr>
      </w:pPr>
      <w:r w:rsidRPr="005D2E4B">
        <w:rPr>
          <w:rFonts w:ascii="Calibri" w:eastAsia="Times New Roman" w:hAnsi="Calibri" w:cs="Calibri"/>
        </w:rPr>
        <w:t xml:space="preserve">Founded in 1908 as the Second District Agricultural and Mechanical High School in rural Georgia, Abraham Baldwin Agricultural College (ABAC) has a long history of providing unique, hands-on learning opportunities for students. </w:t>
      </w:r>
      <w:r w:rsidRPr="005D2E4B">
        <w:rPr>
          <w:rFonts w:ascii="Calibri" w:eastAsia="Times New Roman" w:hAnsi="Calibri" w:cs="Calibri"/>
          <w:highlight w:val="white"/>
        </w:rPr>
        <w:t xml:space="preserve">The institution is a member of the University System of Georgia (USG), which is governed by the Board of Regents (BOR), </w:t>
      </w:r>
      <w:r w:rsidRPr="005D2E4B">
        <w:rPr>
          <w:rFonts w:ascii="Calibri" w:eastAsia="Times New Roman" w:hAnsi="Calibri" w:cs="Calibri"/>
        </w:rPr>
        <w:t>is designated as Georgia’s Agricultural State College</w:t>
      </w:r>
      <w:r w:rsidRPr="005D2E4B">
        <w:rPr>
          <w:rFonts w:ascii="Calibri" w:eastAsia="Times New Roman" w:hAnsi="Calibri" w:cs="Calibri"/>
          <w:highlight w:val="white"/>
        </w:rPr>
        <w:t xml:space="preserve"> and is fully accredited by the Southern Association of Colleges and Schools Commission on Colleges (SACSCOC) to grant associate and bachelor’s degrees</w:t>
      </w:r>
      <w:r w:rsidRPr="005D2E4B">
        <w:rPr>
          <w:rFonts w:ascii="Calibri" w:eastAsia="Times New Roman" w:hAnsi="Calibri" w:cs="Calibri"/>
        </w:rPr>
        <w:t xml:space="preserve">. The academic program </w:t>
      </w:r>
      <w:r w:rsidRPr="005D2E4B">
        <w:rPr>
          <w:rFonts w:ascii="Calibri" w:eastAsia="Times New Roman" w:hAnsi="Calibri" w:cs="Calibri"/>
          <w:highlight w:val="white"/>
        </w:rPr>
        <w:t>offerings</w:t>
      </w:r>
      <w:r w:rsidRPr="005D2E4B">
        <w:rPr>
          <w:rFonts w:ascii="Calibri" w:eastAsia="Times New Roman" w:hAnsi="Calibri" w:cs="Calibri"/>
        </w:rPr>
        <w:t xml:space="preserve"> </w:t>
      </w:r>
      <w:r w:rsidRPr="005D2E4B">
        <w:rPr>
          <w:rFonts w:ascii="Calibri" w:eastAsia="Times New Roman" w:hAnsi="Calibri" w:cs="Calibri"/>
          <w:highlight w:val="white"/>
        </w:rPr>
        <w:t>have expanded substantially since its founding and its 75-year tenure as an associate-degree granting institution, where initial offerings centered around agriculture, forestry, and home economics. T</w:t>
      </w:r>
      <w:r w:rsidRPr="005D2E4B">
        <w:rPr>
          <w:rFonts w:ascii="Calibri" w:eastAsia="Times New Roman" w:hAnsi="Calibri" w:cs="Calibri"/>
        </w:rPr>
        <w:t>he BOR granted ABAC status as a State College in 2006, allowing the College to offer bachelor’s degrees. Over the past decade, the College has increased its academic programs to i</w:t>
      </w:r>
      <w:r w:rsidRPr="005D2E4B">
        <w:rPr>
          <w:rFonts w:ascii="Calibri" w:eastAsia="Times New Roman" w:hAnsi="Calibri" w:cs="Calibri"/>
          <w:highlight w:val="white"/>
        </w:rPr>
        <w:t>nclude 12 baccalaureate degrees and 4 associate degrees.</w:t>
      </w:r>
    </w:p>
    <w:p w14:paraId="0000002C" w14:textId="77777777" w:rsidR="00254ABF" w:rsidRPr="005D2E4B" w:rsidRDefault="000F141A">
      <w:pPr>
        <w:spacing w:before="240" w:after="240" w:line="480" w:lineRule="auto"/>
        <w:ind w:firstLine="720"/>
        <w:rPr>
          <w:rFonts w:ascii="Calibri" w:eastAsia="Times New Roman" w:hAnsi="Calibri" w:cs="Calibri"/>
        </w:rPr>
      </w:pPr>
      <w:r w:rsidRPr="005D2E4B">
        <w:rPr>
          <w:rFonts w:ascii="Calibri" w:eastAsia="Times New Roman" w:hAnsi="Calibri" w:cs="Calibri"/>
        </w:rPr>
        <w:lastRenderedPageBreak/>
        <w:t xml:space="preserve">On January 1, 2018, the BOR approved the consolidation of ABAC and Bainbridge State College (BSC). The consolidation resulted in the expansion of ABAC’s service area to 100 miles beyond the main campus in Tifton, extending its programmatic reach further into rural southwest Georgia via the instructional sites located in Bainbridge, Blakely, Donalsonville, and Moultrie. This consolidation has created a dynamic restructuring at the administrative level and in the classroom. </w:t>
      </w:r>
    </w:p>
    <w:p w14:paraId="0000002D" w14:textId="77777777" w:rsidR="00254ABF" w:rsidRPr="005D2E4B" w:rsidRDefault="000F141A">
      <w:pPr>
        <w:spacing w:after="80" w:line="480" w:lineRule="auto"/>
        <w:ind w:firstLine="720"/>
        <w:rPr>
          <w:rFonts w:ascii="Calibri" w:eastAsia="Times New Roman" w:hAnsi="Calibri" w:cs="Calibri"/>
        </w:rPr>
      </w:pPr>
      <w:r w:rsidRPr="005D2E4B">
        <w:rPr>
          <w:rFonts w:ascii="Calibri" w:eastAsia="Times New Roman" w:hAnsi="Calibri" w:cs="Calibri"/>
        </w:rPr>
        <w:t>Student Characteristics:</w:t>
      </w:r>
    </w:p>
    <w:tbl>
      <w:tblPr>
        <w:tblStyle w:val="a"/>
        <w:tblW w:w="5355" w:type="dxa"/>
        <w:tblBorders>
          <w:top w:val="nil"/>
          <w:left w:val="nil"/>
          <w:bottom w:val="nil"/>
          <w:right w:val="nil"/>
          <w:insideH w:val="nil"/>
          <w:insideV w:val="nil"/>
        </w:tblBorders>
        <w:tblLayout w:type="fixed"/>
        <w:tblLook w:val="0600" w:firstRow="0" w:lastRow="0" w:firstColumn="0" w:lastColumn="0" w:noHBand="1" w:noVBand="1"/>
      </w:tblPr>
      <w:tblGrid>
        <w:gridCol w:w="1440"/>
        <w:gridCol w:w="1140"/>
        <w:gridCol w:w="1290"/>
        <w:gridCol w:w="1485"/>
      </w:tblGrid>
      <w:tr w:rsidR="00254ABF" w:rsidRPr="005D2E4B" w14:paraId="7D3A290D" w14:textId="77777777">
        <w:trPr>
          <w:trHeight w:val="755"/>
        </w:trPr>
        <w:tc>
          <w:tcPr>
            <w:tcW w:w="144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0000002E" w14:textId="77777777" w:rsidR="00254ABF" w:rsidRPr="005D2E4B" w:rsidRDefault="000F141A">
            <w:pPr>
              <w:spacing w:before="240" w:after="360" w:line="480" w:lineRule="auto"/>
              <w:ind w:left="140" w:right="140"/>
              <w:rPr>
                <w:rFonts w:ascii="Calibri" w:eastAsia="Times New Roman" w:hAnsi="Calibri" w:cs="Calibri"/>
                <w:b/>
              </w:rPr>
            </w:pPr>
            <w:r w:rsidRPr="005D2E4B">
              <w:rPr>
                <w:rFonts w:ascii="Calibri" w:eastAsia="Times New Roman" w:hAnsi="Calibri" w:cs="Calibri"/>
                <w:b/>
              </w:rPr>
              <w:t>Semester</w:t>
            </w:r>
          </w:p>
        </w:tc>
        <w:tc>
          <w:tcPr>
            <w:tcW w:w="114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0000002F" w14:textId="77777777" w:rsidR="00254ABF" w:rsidRPr="005D2E4B" w:rsidRDefault="000F141A">
            <w:pPr>
              <w:spacing w:before="240" w:after="360" w:line="480" w:lineRule="auto"/>
              <w:ind w:left="140" w:right="300"/>
              <w:rPr>
                <w:rFonts w:ascii="Calibri" w:eastAsia="Times New Roman" w:hAnsi="Calibri" w:cs="Calibri"/>
                <w:b/>
              </w:rPr>
            </w:pPr>
            <w:r w:rsidRPr="005D2E4B">
              <w:rPr>
                <w:rFonts w:ascii="Calibri" w:eastAsia="Times New Roman" w:hAnsi="Calibri" w:cs="Calibri"/>
                <w:b/>
              </w:rPr>
              <w:t>Total</w:t>
            </w:r>
          </w:p>
        </w:tc>
        <w:tc>
          <w:tcPr>
            <w:tcW w:w="1290"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00000030" w14:textId="77777777" w:rsidR="00254ABF" w:rsidRPr="005D2E4B" w:rsidRDefault="000F141A">
            <w:pPr>
              <w:spacing w:before="240" w:after="360" w:line="480" w:lineRule="auto"/>
              <w:ind w:left="140" w:right="140"/>
              <w:rPr>
                <w:rFonts w:ascii="Calibri" w:eastAsia="Times New Roman" w:hAnsi="Calibri" w:cs="Calibri"/>
                <w:b/>
              </w:rPr>
            </w:pPr>
            <w:r w:rsidRPr="005D2E4B">
              <w:rPr>
                <w:rFonts w:ascii="Calibri" w:eastAsia="Times New Roman" w:hAnsi="Calibri" w:cs="Calibri"/>
                <w:b/>
              </w:rPr>
              <w:t>Full Time</w:t>
            </w:r>
          </w:p>
        </w:tc>
        <w:tc>
          <w:tcPr>
            <w:tcW w:w="1485" w:type="dxa"/>
            <w:tcBorders>
              <w:top w:val="single" w:sz="8" w:space="0" w:color="000000"/>
              <w:left w:val="nil"/>
              <w:bottom w:val="single" w:sz="8" w:space="0" w:color="000000"/>
              <w:right w:val="single" w:sz="8" w:space="0" w:color="000000"/>
            </w:tcBorders>
            <w:tcMar>
              <w:top w:w="100" w:type="dxa"/>
              <w:left w:w="100" w:type="dxa"/>
              <w:bottom w:w="100" w:type="dxa"/>
              <w:right w:w="100" w:type="dxa"/>
            </w:tcMar>
            <w:vAlign w:val="bottom"/>
          </w:tcPr>
          <w:p w14:paraId="00000031" w14:textId="77777777" w:rsidR="00254ABF" w:rsidRPr="005D2E4B" w:rsidRDefault="000F141A">
            <w:pPr>
              <w:spacing w:before="240" w:after="360" w:line="480" w:lineRule="auto"/>
              <w:ind w:left="140" w:right="140"/>
              <w:rPr>
                <w:rFonts w:ascii="Calibri" w:eastAsia="Times New Roman" w:hAnsi="Calibri" w:cs="Calibri"/>
                <w:b/>
              </w:rPr>
            </w:pPr>
            <w:r w:rsidRPr="005D2E4B">
              <w:rPr>
                <w:rFonts w:ascii="Calibri" w:eastAsia="Times New Roman" w:hAnsi="Calibri" w:cs="Calibri"/>
                <w:b/>
              </w:rPr>
              <w:t>Full Time %</w:t>
            </w:r>
          </w:p>
        </w:tc>
      </w:tr>
      <w:tr w:rsidR="00254ABF" w:rsidRPr="005D2E4B" w14:paraId="3B45DD65" w14:textId="77777777">
        <w:trPr>
          <w:trHeight w:val="485"/>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00000032" w14:textId="77777777" w:rsidR="00254ABF" w:rsidRPr="005D2E4B" w:rsidRDefault="000F141A">
            <w:pPr>
              <w:spacing w:before="240" w:after="360" w:line="480" w:lineRule="auto"/>
              <w:ind w:left="140" w:right="140"/>
              <w:rPr>
                <w:rFonts w:ascii="Calibri" w:eastAsia="Times New Roman" w:hAnsi="Calibri" w:cs="Calibri"/>
              </w:rPr>
            </w:pPr>
            <w:r w:rsidRPr="005D2E4B">
              <w:rPr>
                <w:rFonts w:ascii="Calibri" w:eastAsia="Times New Roman" w:hAnsi="Calibri" w:cs="Calibri"/>
              </w:rPr>
              <w:t>Fall 2016</w:t>
            </w:r>
          </w:p>
        </w:tc>
        <w:tc>
          <w:tcPr>
            <w:tcW w:w="1140"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3"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5943</w:t>
            </w:r>
          </w:p>
        </w:tc>
        <w:tc>
          <w:tcPr>
            <w:tcW w:w="1290"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4"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3310</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5"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55.7%</w:t>
            </w:r>
          </w:p>
        </w:tc>
      </w:tr>
      <w:tr w:rsidR="00254ABF" w:rsidRPr="005D2E4B" w14:paraId="024B4755" w14:textId="77777777">
        <w:trPr>
          <w:trHeight w:val="485"/>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00000036" w14:textId="77777777" w:rsidR="00254ABF" w:rsidRPr="005D2E4B" w:rsidRDefault="000F141A">
            <w:pPr>
              <w:spacing w:before="240" w:after="360" w:line="480" w:lineRule="auto"/>
              <w:ind w:left="140" w:right="140"/>
              <w:rPr>
                <w:rFonts w:ascii="Calibri" w:eastAsia="Times New Roman" w:hAnsi="Calibri" w:cs="Calibri"/>
              </w:rPr>
            </w:pPr>
            <w:r w:rsidRPr="005D2E4B">
              <w:rPr>
                <w:rFonts w:ascii="Calibri" w:eastAsia="Times New Roman" w:hAnsi="Calibri" w:cs="Calibri"/>
              </w:rPr>
              <w:t>Fall 2017</w:t>
            </w:r>
          </w:p>
        </w:tc>
        <w:tc>
          <w:tcPr>
            <w:tcW w:w="1140"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7"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5140</w:t>
            </w:r>
          </w:p>
        </w:tc>
        <w:tc>
          <w:tcPr>
            <w:tcW w:w="1290"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8"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2960</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9"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57.6%</w:t>
            </w:r>
          </w:p>
        </w:tc>
      </w:tr>
      <w:tr w:rsidR="00254ABF" w:rsidRPr="005D2E4B" w14:paraId="1CFC40FA" w14:textId="77777777">
        <w:trPr>
          <w:trHeight w:val="485"/>
        </w:trPr>
        <w:tc>
          <w:tcPr>
            <w:tcW w:w="1440" w:type="dxa"/>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0000003A" w14:textId="77777777" w:rsidR="00254ABF" w:rsidRPr="005D2E4B" w:rsidRDefault="000F141A">
            <w:pPr>
              <w:spacing w:before="240" w:after="360" w:line="480" w:lineRule="auto"/>
              <w:ind w:left="140" w:right="140"/>
              <w:rPr>
                <w:rFonts w:ascii="Calibri" w:eastAsia="Times New Roman" w:hAnsi="Calibri" w:cs="Calibri"/>
              </w:rPr>
            </w:pPr>
            <w:r w:rsidRPr="005D2E4B">
              <w:rPr>
                <w:rFonts w:ascii="Calibri" w:eastAsia="Times New Roman" w:hAnsi="Calibri" w:cs="Calibri"/>
              </w:rPr>
              <w:t>Fall 2018</w:t>
            </w:r>
          </w:p>
        </w:tc>
        <w:tc>
          <w:tcPr>
            <w:tcW w:w="1140"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B"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4291</w:t>
            </w:r>
          </w:p>
        </w:tc>
        <w:tc>
          <w:tcPr>
            <w:tcW w:w="1290"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C"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2660</w:t>
            </w:r>
          </w:p>
        </w:tc>
        <w:tc>
          <w:tcPr>
            <w:tcW w:w="1485" w:type="dxa"/>
            <w:tcBorders>
              <w:top w:val="nil"/>
              <w:left w:val="nil"/>
              <w:bottom w:val="single" w:sz="8" w:space="0" w:color="000000"/>
              <w:right w:val="single" w:sz="8" w:space="0" w:color="000000"/>
            </w:tcBorders>
            <w:tcMar>
              <w:top w:w="100" w:type="dxa"/>
              <w:left w:w="100" w:type="dxa"/>
              <w:bottom w:w="100" w:type="dxa"/>
              <w:right w:w="100" w:type="dxa"/>
            </w:tcMar>
            <w:vAlign w:val="bottom"/>
          </w:tcPr>
          <w:p w14:paraId="0000003D"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62.0%</w:t>
            </w:r>
          </w:p>
        </w:tc>
      </w:tr>
      <w:tr w:rsidR="00254ABF" w:rsidRPr="005D2E4B" w14:paraId="14557A09" w14:textId="77777777">
        <w:trPr>
          <w:trHeight w:val="755"/>
        </w:trPr>
        <w:tc>
          <w:tcPr>
            <w:tcW w:w="5355" w:type="dxa"/>
            <w:gridSpan w:val="4"/>
            <w:tcBorders>
              <w:top w:val="nil"/>
              <w:left w:val="single" w:sz="8" w:space="0" w:color="000000"/>
              <w:bottom w:val="single" w:sz="8" w:space="0" w:color="000000"/>
              <w:right w:val="single" w:sz="8" w:space="0" w:color="000000"/>
            </w:tcBorders>
            <w:tcMar>
              <w:top w:w="100" w:type="dxa"/>
              <w:left w:w="100" w:type="dxa"/>
              <w:bottom w:w="100" w:type="dxa"/>
              <w:right w:w="100" w:type="dxa"/>
            </w:tcMar>
            <w:vAlign w:val="bottom"/>
          </w:tcPr>
          <w:p w14:paraId="0000003E" w14:textId="77777777" w:rsidR="00254ABF" w:rsidRPr="005D2E4B" w:rsidRDefault="000F141A">
            <w:pPr>
              <w:spacing w:before="240" w:after="360" w:line="480" w:lineRule="auto"/>
              <w:ind w:left="140" w:right="140"/>
              <w:rPr>
                <w:rFonts w:ascii="Calibri" w:eastAsia="Times New Roman" w:hAnsi="Calibri" w:cs="Calibri"/>
                <w:color w:val="1155CC"/>
                <w:u w:val="single"/>
              </w:rPr>
            </w:pPr>
            <w:r w:rsidRPr="005D2E4B">
              <w:rPr>
                <w:rFonts w:ascii="Calibri" w:eastAsia="Times New Roman" w:hAnsi="Calibri" w:cs="Calibri"/>
              </w:rPr>
              <w:t>Source: University System of Georgia:</w:t>
            </w:r>
            <w:hyperlink r:id="rId7">
              <w:r w:rsidRPr="005D2E4B">
                <w:rPr>
                  <w:rFonts w:ascii="Calibri" w:eastAsia="Times New Roman" w:hAnsi="Calibri" w:cs="Calibri"/>
                </w:rPr>
                <w:t xml:space="preserve"> </w:t>
              </w:r>
            </w:hyperlink>
            <w:hyperlink r:id="rId8">
              <w:r w:rsidRPr="005D2E4B">
                <w:rPr>
                  <w:rFonts w:ascii="Calibri" w:eastAsia="Times New Roman" w:hAnsi="Calibri" w:cs="Calibri"/>
                  <w:color w:val="1155CC"/>
                  <w:u w:val="single"/>
                </w:rPr>
                <w:t>https://www.usg.edu/research/usgbythenumbers</w:t>
              </w:r>
            </w:hyperlink>
          </w:p>
        </w:tc>
      </w:tr>
      <w:tr w:rsidR="00254ABF" w:rsidRPr="005D2E4B" w14:paraId="2E377321" w14:textId="77777777">
        <w:trPr>
          <w:trHeight w:val="680"/>
        </w:trPr>
        <w:tc>
          <w:tcPr>
            <w:tcW w:w="5355" w:type="dxa"/>
            <w:gridSpan w:val="4"/>
            <w:tcBorders>
              <w:top w:val="nil"/>
              <w:left w:val="nil"/>
              <w:bottom w:val="nil"/>
              <w:right w:val="nil"/>
            </w:tcBorders>
            <w:shd w:val="clear" w:color="auto" w:fill="auto"/>
            <w:tcMar>
              <w:top w:w="100" w:type="dxa"/>
              <w:left w:w="100" w:type="dxa"/>
              <w:bottom w:w="100" w:type="dxa"/>
              <w:right w:w="100" w:type="dxa"/>
            </w:tcMar>
            <w:vAlign w:val="bottom"/>
          </w:tcPr>
          <w:p w14:paraId="00000042" w14:textId="77777777" w:rsidR="00254ABF" w:rsidRPr="005D2E4B" w:rsidRDefault="000F141A">
            <w:pPr>
              <w:spacing w:before="240" w:after="360" w:line="480" w:lineRule="auto"/>
              <w:ind w:left="140" w:right="140"/>
              <w:rPr>
                <w:rFonts w:ascii="Calibri" w:eastAsia="Times New Roman" w:hAnsi="Calibri" w:cs="Calibri"/>
                <w:i/>
              </w:rPr>
            </w:pPr>
            <w:r w:rsidRPr="005D2E4B">
              <w:rPr>
                <w:rFonts w:ascii="Calibri" w:eastAsia="Times New Roman" w:hAnsi="Calibri" w:cs="Calibri"/>
                <w:i/>
              </w:rPr>
              <w:t>Table 1: ABAC enrollment by semester</w:t>
            </w:r>
          </w:p>
        </w:tc>
      </w:tr>
    </w:tbl>
    <w:p w14:paraId="00000046" w14:textId="77777777" w:rsidR="00254ABF" w:rsidRPr="005D2E4B" w:rsidRDefault="000F141A">
      <w:pPr>
        <w:spacing w:before="240" w:after="240" w:line="480" w:lineRule="auto"/>
        <w:ind w:firstLine="720"/>
        <w:rPr>
          <w:rFonts w:ascii="Calibri" w:eastAsia="Times New Roman" w:hAnsi="Calibri" w:cs="Calibri"/>
        </w:rPr>
      </w:pPr>
      <w:r w:rsidRPr="005D2E4B">
        <w:rPr>
          <w:rFonts w:ascii="Calibri" w:eastAsia="Times New Roman" w:hAnsi="Calibri" w:cs="Calibri"/>
        </w:rPr>
        <w:lastRenderedPageBreak/>
        <w:t>In the Fall semester of 2018, 4,291 students enrolled at ABAC (see Table 1), 2,660 of whom were full time. Although this represents a decrease from previous years, the percentage of full-time students has notably increased to 62%. The decline in students is attributed to the consolidation with BSC – as previous years’ figures were adjusted to include BSC students, many of whom were enrolled in technical programs. They were removed from ABAC’s rosters and transferred to the Technical College System of Georgia.</w:t>
      </w:r>
    </w:p>
    <w:tbl>
      <w:tblPr>
        <w:tblStyle w:val="a0"/>
        <w:tblW w:w="7230" w:type="dxa"/>
        <w:tblBorders>
          <w:top w:val="nil"/>
          <w:left w:val="nil"/>
          <w:bottom w:val="nil"/>
          <w:right w:val="nil"/>
          <w:insideH w:val="nil"/>
          <w:insideV w:val="nil"/>
        </w:tblBorders>
        <w:tblLayout w:type="fixed"/>
        <w:tblLook w:val="0600" w:firstRow="0" w:lastRow="0" w:firstColumn="0" w:lastColumn="0" w:noHBand="1" w:noVBand="1"/>
      </w:tblPr>
      <w:tblGrid>
        <w:gridCol w:w="1380"/>
        <w:gridCol w:w="915"/>
        <w:gridCol w:w="990"/>
        <w:gridCol w:w="825"/>
        <w:gridCol w:w="1080"/>
        <w:gridCol w:w="960"/>
        <w:gridCol w:w="1080"/>
      </w:tblGrid>
      <w:tr w:rsidR="00254ABF" w:rsidRPr="005D2E4B" w14:paraId="204873E2" w14:textId="77777777">
        <w:trPr>
          <w:trHeight w:val="755"/>
        </w:trPr>
        <w:tc>
          <w:tcPr>
            <w:tcW w:w="138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7" w14:textId="77777777" w:rsidR="00254ABF" w:rsidRPr="005D2E4B" w:rsidRDefault="000F141A">
            <w:pPr>
              <w:spacing w:before="240" w:after="360" w:line="480" w:lineRule="auto"/>
              <w:ind w:left="140" w:right="140"/>
              <w:jc w:val="right"/>
              <w:rPr>
                <w:rFonts w:ascii="Calibri" w:eastAsia="Times New Roman" w:hAnsi="Calibri" w:cs="Calibri"/>
                <w:b/>
              </w:rPr>
            </w:pPr>
            <w:r w:rsidRPr="005D2E4B">
              <w:rPr>
                <w:rFonts w:ascii="Calibri" w:eastAsia="Times New Roman" w:hAnsi="Calibri" w:cs="Calibri"/>
                <w:b/>
              </w:rPr>
              <w:t>Semester</w:t>
            </w:r>
          </w:p>
        </w:tc>
        <w:tc>
          <w:tcPr>
            <w:tcW w:w="91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8" w14:textId="77777777" w:rsidR="00254ABF" w:rsidRPr="005D2E4B" w:rsidRDefault="000F141A">
            <w:pPr>
              <w:spacing w:before="240" w:after="360" w:line="480" w:lineRule="auto"/>
              <w:ind w:left="140" w:right="140"/>
              <w:jc w:val="right"/>
              <w:rPr>
                <w:rFonts w:ascii="Calibri" w:eastAsia="Times New Roman" w:hAnsi="Calibri" w:cs="Calibri"/>
                <w:b/>
              </w:rPr>
            </w:pPr>
            <w:r w:rsidRPr="005D2E4B">
              <w:rPr>
                <w:rFonts w:ascii="Calibri" w:eastAsia="Times New Roman" w:hAnsi="Calibri" w:cs="Calibri"/>
                <w:b/>
              </w:rPr>
              <w:t>Pell</w:t>
            </w:r>
          </w:p>
        </w:tc>
        <w:tc>
          <w:tcPr>
            <w:tcW w:w="99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9" w14:textId="77777777" w:rsidR="00254ABF" w:rsidRPr="005D2E4B" w:rsidRDefault="000F141A">
            <w:pPr>
              <w:spacing w:before="240" w:after="360" w:line="480" w:lineRule="auto"/>
              <w:ind w:left="140" w:right="140"/>
              <w:jc w:val="right"/>
              <w:rPr>
                <w:rFonts w:ascii="Calibri" w:eastAsia="Times New Roman" w:hAnsi="Calibri" w:cs="Calibri"/>
                <w:b/>
              </w:rPr>
            </w:pPr>
            <w:r w:rsidRPr="005D2E4B">
              <w:rPr>
                <w:rFonts w:ascii="Calibri" w:eastAsia="Times New Roman" w:hAnsi="Calibri" w:cs="Calibri"/>
                <w:b/>
              </w:rPr>
              <w:t>Pell %</w:t>
            </w:r>
          </w:p>
        </w:tc>
        <w:tc>
          <w:tcPr>
            <w:tcW w:w="82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A" w14:textId="77777777" w:rsidR="00254ABF" w:rsidRPr="005D2E4B" w:rsidRDefault="000F141A">
            <w:pPr>
              <w:spacing w:before="240" w:after="360" w:line="480" w:lineRule="auto"/>
              <w:ind w:left="140" w:right="140"/>
              <w:jc w:val="right"/>
              <w:rPr>
                <w:rFonts w:ascii="Calibri" w:eastAsia="Times New Roman" w:hAnsi="Calibri" w:cs="Calibri"/>
                <w:b/>
              </w:rPr>
            </w:pPr>
            <w:r w:rsidRPr="005D2E4B">
              <w:rPr>
                <w:rFonts w:ascii="Calibri" w:eastAsia="Times New Roman" w:hAnsi="Calibri" w:cs="Calibri"/>
                <w:b/>
              </w:rPr>
              <w:t>1G</w:t>
            </w:r>
          </w:p>
        </w:tc>
        <w:tc>
          <w:tcPr>
            <w:tcW w:w="10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B" w14:textId="77777777" w:rsidR="00254ABF" w:rsidRPr="005D2E4B" w:rsidRDefault="000F141A">
            <w:pPr>
              <w:spacing w:before="240" w:after="360" w:line="480" w:lineRule="auto"/>
              <w:ind w:left="140" w:right="140"/>
              <w:jc w:val="right"/>
              <w:rPr>
                <w:rFonts w:ascii="Calibri" w:eastAsia="Times New Roman" w:hAnsi="Calibri" w:cs="Calibri"/>
                <w:b/>
              </w:rPr>
            </w:pPr>
            <w:r w:rsidRPr="005D2E4B">
              <w:rPr>
                <w:rFonts w:ascii="Calibri" w:eastAsia="Times New Roman" w:hAnsi="Calibri" w:cs="Calibri"/>
                <w:b/>
              </w:rPr>
              <w:t>1G%</w:t>
            </w:r>
          </w:p>
        </w:tc>
        <w:tc>
          <w:tcPr>
            <w:tcW w:w="96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C" w14:textId="77777777" w:rsidR="00254ABF" w:rsidRPr="005D2E4B" w:rsidRDefault="000F141A">
            <w:pPr>
              <w:spacing w:before="240" w:after="360" w:line="480" w:lineRule="auto"/>
              <w:ind w:left="140" w:right="140"/>
              <w:jc w:val="right"/>
              <w:rPr>
                <w:rFonts w:ascii="Calibri" w:eastAsia="Times New Roman" w:hAnsi="Calibri" w:cs="Calibri"/>
                <w:b/>
              </w:rPr>
            </w:pPr>
            <w:r w:rsidRPr="005D2E4B">
              <w:rPr>
                <w:rFonts w:ascii="Calibri" w:eastAsia="Times New Roman" w:hAnsi="Calibri" w:cs="Calibri"/>
                <w:b/>
              </w:rPr>
              <w:t>Pell + 1G</w:t>
            </w:r>
          </w:p>
        </w:tc>
        <w:tc>
          <w:tcPr>
            <w:tcW w:w="108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D" w14:textId="77777777" w:rsidR="00254ABF" w:rsidRPr="005D2E4B" w:rsidRDefault="000F141A">
            <w:pPr>
              <w:spacing w:before="240" w:after="360" w:line="480" w:lineRule="auto"/>
              <w:ind w:left="140" w:right="140"/>
              <w:jc w:val="right"/>
              <w:rPr>
                <w:rFonts w:ascii="Calibri" w:eastAsia="Times New Roman" w:hAnsi="Calibri" w:cs="Calibri"/>
                <w:b/>
              </w:rPr>
            </w:pPr>
            <w:r w:rsidRPr="005D2E4B">
              <w:rPr>
                <w:rFonts w:ascii="Calibri" w:eastAsia="Times New Roman" w:hAnsi="Calibri" w:cs="Calibri"/>
                <w:b/>
              </w:rPr>
              <w:t>Pell + 1G%</w:t>
            </w:r>
          </w:p>
        </w:tc>
      </w:tr>
      <w:tr w:rsidR="00254ABF" w:rsidRPr="005D2E4B" w14:paraId="1692761A" w14:textId="77777777">
        <w:trPr>
          <w:trHeight w:val="485"/>
        </w:trPr>
        <w:tc>
          <w:tcPr>
            <w:tcW w:w="13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E"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Fall 2016</w:t>
            </w:r>
          </w:p>
        </w:tc>
        <w:tc>
          <w:tcPr>
            <w:tcW w:w="9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4F"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1325</w:t>
            </w:r>
          </w:p>
        </w:tc>
        <w:tc>
          <w:tcPr>
            <w:tcW w:w="9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0"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40.0%</w:t>
            </w:r>
          </w:p>
        </w:tc>
        <w:tc>
          <w:tcPr>
            <w:tcW w:w="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1"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981</w:t>
            </w:r>
          </w:p>
        </w:tc>
        <w:tc>
          <w:tcPr>
            <w:tcW w:w="10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2"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29.6%</w:t>
            </w:r>
          </w:p>
        </w:tc>
        <w:tc>
          <w:tcPr>
            <w:tcW w:w="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3"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660</w:t>
            </w:r>
          </w:p>
        </w:tc>
        <w:tc>
          <w:tcPr>
            <w:tcW w:w="10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4"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19.9%</w:t>
            </w:r>
          </w:p>
        </w:tc>
      </w:tr>
      <w:tr w:rsidR="00254ABF" w:rsidRPr="005D2E4B" w14:paraId="0BC9847D" w14:textId="77777777">
        <w:trPr>
          <w:trHeight w:val="485"/>
        </w:trPr>
        <w:tc>
          <w:tcPr>
            <w:tcW w:w="13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5"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Fall 2017</w:t>
            </w:r>
          </w:p>
        </w:tc>
        <w:tc>
          <w:tcPr>
            <w:tcW w:w="9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6"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1258</w:t>
            </w:r>
          </w:p>
        </w:tc>
        <w:tc>
          <w:tcPr>
            <w:tcW w:w="9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7"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42.5%</w:t>
            </w:r>
          </w:p>
        </w:tc>
        <w:tc>
          <w:tcPr>
            <w:tcW w:w="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8"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861</w:t>
            </w:r>
          </w:p>
        </w:tc>
        <w:tc>
          <w:tcPr>
            <w:tcW w:w="10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9"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29.1%</w:t>
            </w:r>
          </w:p>
        </w:tc>
        <w:tc>
          <w:tcPr>
            <w:tcW w:w="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A"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597</w:t>
            </w:r>
          </w:p>
        </w:tc>
        <w:tc>
          <w:tcPr>
            <w:tcW w:w="10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B"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20.2%</w:t>
            </w:r>
          </w:p>
        </w:tc>
      </w:tr>
      <w:tr w:rsidR="00254ABF" w:rsidRPr="005D2E4B" w14:paraId="4CEC55FF" w14:textId="77777777">
        <w:trPr>
          <w:trHeight w:val="485"/>
        </w:trPr>
        <w:tc>
          <w:tcPr>
            <w:tcW w:w="13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C"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Fall 2018</w:t>
            </w:r>
          </w:p>
        </w:tc>
        <w:tc>
          <w:tcPr>
            <w:tcW w:w="91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D"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1197</w:t>
            </w:r>
          </w:p>
        </w:tc>
        <w:tc>
          <w:tcPr>
            <w:tcW w:w="99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E"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45.0%</w:t>
            </w:r>
          </w:p>
        </w:tc>
        <w:tc>
          <w:tcPr>
            <w:tcW w:w="82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5F"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808</w:t>
            </w:r>
          </w:p>
        </w:tc>
        <w:tc>
          <w:tcPr>
            <w:tcW w:w="10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60"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30.4%</w:t>
            </w:r>
          </w:p>
        </w:tc>
        <w:tc>
          <w:tcPr>
            <w:tcW w:w="96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61"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569</w:t>
            </w:r>
          </w:p>
        </w:tc>
        <w:tc>
          <w:tcPr>
            <w:tcW w:w="108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62"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21.4%</w:t>
            </w:r>
          </w:p>
        </w:tc>
      </w:tr>
      <w:tr w:rsidR="00254ABF" w:rsidRPr="005D2E4B" w14:paraId="21AC0662" w14:textId="77777777">
        <w:trPr>
          <w:trHeight w:val="485"/>
        </w:trPr>
        <w:tc>
          <w:tcPr>
            <w:tcW w:w="13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63" w14:textId="77777777" w:rsidR="00254ABF" w:rsidRPr="005D2E4B" w:rsidRDefault="000F141A">
            <w:pPr>
              <w:spacing w:before="240" w:after="360" w:line="480" w:lineRule="auto"/>
              <w:ind w:left="140" w:right="140"/>
              <w:jc w:val="right"/>
              <w:rPr>
                <w:rFonts w:ascii="Calibri" w:eastAsia="Times New Roman" w:hAnsi="Calibri" w:cs="Calibri"/>
                <w:b/>
              </w:rPr>
            </w:pPr>
            <w:r w:rsidRPr="005D2E4B">
              <w:rPr>
                <w:rFonts w:ascii="Calibri" w:eastAsia="Times New Roman" w:hAnsi="Calibri" w:cs="Calibri"/>
                <w:b/>
              </w:rPr>
              <w:t>Semester</w:t>
            </w:r>
          </w:p>
        </w:tc>
        <w:tc>
          <w:tcPr>
            <w:tcW w:w="5850" w:type="dxa"/>
            <w:gridSpan w:val="6"/>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64"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t>Source: FAFSA data</w:t>
            </w:r>
          </w:p>
        </w:tc>
      </w:tr>
      <w:tr w:rsidR="00254ABF" w:rsidRPr="005D2E4B" w14:paraId="5F7DA2E9" w14:textId="77777777">
        <w:trPr>
          <w:trHeight w:val="485"/>
        </w:trPr>
        <w:tc>
          <w:tcPr>
            <w:tcW w:w="7230" w:type="dxa"/>
            <w:gridSpan w:val="7"/>
            <w:tcBorders>
              <w:top w:val="nil"/>
              <w:left w:val="nil"/>
              <w:bottom w:val="nil"/>
              <w:right w:val="nil"/>
            </w:tcBorders>
            <w:shd w:val="clear" w:color="auto" w:fill="auto"/>
            <w:tcMar>
              <w:top w:w="100" w:type="dxa"/>
              <w:left w:w="100" w:type="dxa"/>
              <w:bottom w:w="100" w:type="dxa"/>
              <w:right w:w="100" w:type="dxa"/>
            </w:tcMar>
          </w:tcPr>
          <w:p w14:paraId="0000006A" w14:textId="77777777" w:rsidR="00254ABF" w:rsidRPr="005D2E4B" w:rsidRDefault="000F141A">
            <w:pPr>
              <w:spacing w:before="240" w:after="360" w:line="480" w:lineRule="auto"/>
              <w:ind w:left="140" w:right="140"/>
              <w:jc w:val="right"/>
              <w:rPr>
                <w:rFonts w:ascii="Calibri" w:eastAsia="Times New Roman" w:hAnsi="Calibri" w:cs="Calibri"/>
              </w:rPr>
            </w:pPr>
            <w:r w:rsidRPr="005D2E4B">
              <w:rPr>
                <w:rFonts w:ascii="Calibri" w:eastAsia="Times New Roman" w:hAnsi="Calibri" w:cs="Calibri"/>
              </w:rPr>
              <w:lastRenderedPageBreak/>
              <w:t>Table 2: ABAC Low Income and First-Gen Enrollment</w:t>
            </w:r>
          </w:p>
        </w:tc>
      </w:tr>
    </w:tbl>
    <w:p w14:paraId="00000071" w14:textId="77777777" w:rsidR="00254ABF" w:rsidRPr="005D2E4B" w:rsidRDefault="000F141A">
      <w:pPr>
        <w:spacing w:before="240" w:after="240" w:line="480" w:lineRule="auto"/>
        <w:ind w:firstLine="720"/>
        <w:rPr>
          <w:rFonts w:ascii="Calibri" w:eastAsia="Times New Roman" w:hAnsi="Calibri" w:cs="Calibri"/>
          <w:b/>
        </w:rPr>
      </w:pPr>
      <w:r w:rsidRPr="005D2E4B">
        <w:rPr>
          <w:rFonts w:ascii="Calibri" w:eastAsia="Times New Roman" w:hAnsi="Calibri" w:cs="Calibri"/>
        </w:rPr>
        <w:t xml:space="preserve">Of those Fall 2018 students, 1,197 (45%) were eligible for the Pell grant per internal FAFSA data. Also, just over 30% of students reported they were first-generation students. A total of 569 students (21.4%) were both Pell-eligible AND first-generation. Please see Table 2 for a summary of low income and first-generation student enrollment. Student one-year retention is presented in Table 3 below. The statewide retention rate for full time students averages just under 76% over the last three years. Among State Colleges in Georgia, the rate drops to 61%. Overall, ABAC fares slightly better at 62%, on average, for the past three years. Among Pell-eligible students, the rate drops to 58%, and among first-generation students 59%. Among students who are both low income and first generation, the average retention rate drops to 57.6%. That is, </w:t>
      </w:r>
      <w:r w:rsidRPr="005D2E4B">
        <w:rPr>
          <w:rFonts w:ascii="Calibri" w:eastAsia="Times New Roman" w:hAnsi="Calibri" w:cs="Calibri"/>
          <w:b/>
        </w:rPr>
        <w:t>ABAC’s students who are both low income and first generation are 4.4% off the pace with their peers at ABAC, and 18.4% behind the pace for their counterparts statewide.</w:t>
      </w:r>
    </w:p>
    <w:tbl>
      <w:tblPr>
        <w:tblStyle w:val="a1"/>
        <w:tblW w:w="9360" w:type="dxa"/>
        <w:tblBorders>
          <w:top w:val="nil"/>
          <w:left w:val="nil"/>
          <w:bottom w:val="nil"/>
          <w:right w:val="nil"/>
          <w:insideH w:val="nil"/>
          <w:insideV w:val="nil"/>
        </w:tblBorders>
        <w:tblLayout w:type="fixed"/>
        <w:tblLook w:val="0600" w:firstRow="0" w:lastRow="0" w:firstColumn="0" w:lastColumn="0" w:noHBand="1" w:noVBand="1"/>
      </w:tblPr>
      <w:tblGrid>
        <w:gridCol w:w="1470"/>
        <w:gridCol w:w="1020"/>
        <w:gridCol w:w="1284"/>
        <w:gridCol w:w="1310"/>
        <w:gridCol w:w="1323"/>
        <w:gridCol w:w="1006"/>
        <w:gridCol w:w="1947"/>
      </w:tblGrid>
      <w:tr w:rsidR="00254ABF" w:rsidRPr="005D2E4B" w14:paraId="71DF9F28" w14:textId="77777777">
        <w:trPr>
          <w:trHeight w:val="755"/>
        </w:trPr>
        <w:tc>
          <w:tcPr>
            <w:tcW w:w="14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2"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Cohort year</w:t>
            </w:r>
          </w:p>
        </w:tc>
        <w:tc>
          <w:tcPr>
            <w:tcW w:w="1019"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3"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All GA</w:t>
            </w:r>
          </w:p>
        </w:tc>
        <w:tc>
          <w:tcPr>
            <w:tcW w:w="1284"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4"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State Colleges</w:t>
            </w:r>
          </w:p>
        </w:tc>
        <w:tc>
          <w:tcPr>
            <w:tcW w:w="1310"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5"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All ABAC</w:t>
            </w:r>
          </w:p>
        </w:tc>
        <w:tc>
          <w:tcPr>
            <w:tcW w:w="132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6"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ABAC Pell</w:t>
            </w:r>
          </w:p>
        </w:tc>
        <w:tc>
          <w:tcPr>
            <w:tcW w:w="1006"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7"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ABAC 1G</w:t>
            </w:r>
          </w:p>
        </w:tc>
        <w:tc>
          <w:tcPr>
            <w:tcW w:w="1946"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8"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ABAC Pell + 1G</w:t>
            </w:r>
          </w:p>
        </w:tc>
      </w:tr>
      <w:tr w:rsidR="00254ABF" w:rsidRPr="005D2E4B" w14:paraId="2AE9AB8E" w14:textId="77777777">
        <w:trPr>
          <w:trHeight w:val="485"/>
        </w:trPr>
        <w:tc>
          <w:tcPr>
            <w:tcW w:w="146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9"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Fall 2014</w:t>
            </w:r>
          </w:p>
        </w:tc>
        <w:tc>
          <w:tcPr>
            <w:tcW w:w="10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A"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76.0</w:t>
            </w:r>
          </w:p>
        </w:tc>
        <w:tc>
          <w:tcPr>
            <w:tcW w:w="128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B"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61.5</w:t>
            </w:r>
          </w:p>
        </w:tc>
        <w:tc>
          <w:tcPr>
            <w:tcW w:w="13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C"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60.9</w:t>
            </w:r>
          </w:p>
        </w:tc>
        <w:tc>
          <w:tcPr>
            <w:tcW w:w="132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D"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56.4%</w:t>
            </w:r>
          </w:p>
        </w:tc>
        <w:tc>
          <w:tcPr>
            <w:tcW w:w="100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E"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55.9%</w:t>
            </w:r>
          </w:p>
        </w:tc>
        <w:tc>
          <w:tcPr>
            <w:tcW w:w="19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7F" w14:textId="77777777" w:rsidR="00254ABF" w:rsidRPr="005D2E4B" w:rsidRDefault="000F141A">
            <w:pPr>
              <w:spacing w:before="240" w:after="240" w:line="480" w:lineRule="auto"/>
              <w:jc w:val="right"/>
              <w:rPr>
                <w:rFonts w:ascii="Calibri" w:eastAsia="Times New Roman" w:hAnsi="Calibri" w:cs="Calibri"/>
                <w:b/>
              </w:rPr>
            </w:pPr>
            <w:r w:rsidRPr="005D2E4B">
              <w:rPr>
                <w:rFonts w:ascii="Calibri" w:eastAsia="Times New Roman" w:hAnsi="Calibri" w:cs="Calibri"/>
                <w:b/>
              </w:rPr>
              <w:t>57.3%</w:t>
            </w:r>
          </w:p>
        </w:tc>
      </w:tr>
      <w:tr w:rsidR="00254ABF" w:rsidRPr="005D2E4B" w14:paraId="61674153" w14:textId="77777777">
        <w:trPr>
          <w:trHeight w:val="485"/>
        </w:trPr>
        <w:tc>
          <w:tcPr>
            <w:tcW w:w="146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0"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Fall 2015</w:t>
            </w:r>
          </w:p>
        </w:tc>
        <w:tc>
          <w:tcPr>
            <w:tcW w:w="10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1"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76.0</w:t>
            </w:r>
          </w:p>
        </w:tc>
        <w:tc>
          <w:tcPr>
            <w:tcW w:w="128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2"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61.5</w:t>
            </w:r>
          </w:p>
        </w:tc>
        <w:tc>
          <w:tcPr>
            <w:tcW w:w="13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3"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64.1</w:t>
            </w:r>
          </w:p>
        </w:tc>
        <w:tc>
          <w:tcPr>
            <w:tcW w:w="132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4"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60.0%</w:t>
            </w:r>
          </w:p>
        </w:tc>
        <w:tc>
          <w:tcPr>
            <w:tcW w:w="100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5"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58.1%</w:t>
            </w:r>
          </w:p>
        </w:tc>
        <w:tc>
          <w:tcPr>
            <w:tcW w:w="19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6" w14:textId="77777777" w:rsidR="00254ABF" w:rsidRPr="005D2E4B" w:rsidRDefault="000F141A">
            <w:pPr>
              <w:spacing w:before="240" w:after="240" w:line="480" w:lineRule="auto"/>
              <w:jc w:val="right"/>
              <w:rPr>
                <w:rFonts w:ascii="Calibri" w:eastAsia="Times New Roman" w:hAnsi="Calibri" w:cs="Calibri"/>
                <w:b/>
              </w:rPr>
            </w:pPr>
            <w:r w:rsidRPr="005D2E4B">
              <w:rPr>
                <w:rFonts w:ascii="Calibri" w:eastAsia="Times New Roman" w:hAnsi="Calibri" w:cs="Calibri"/>
                <w:b/>
              </w:rPr>
              <w:t>58.5%</w:t>
            </w:r>
          </w:p>
        </w:tc>
      </w:tr>
      <w:tr w:rsidR="00254ABF" w:rsidRPr="005D2E4B" w14:paraId="5141E5B8" w14:textId="77777777">
        <w:trPr>
          <w:trHeight w:val="485"/>
        </w:trPr>
        <w:tc>
          <w:tcPr>
            <w:tcW w:w="1469"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7"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Fall 2016</w:t>
            </w:r>
          </w:p>
        </w:tc>
        <w:tc>
          <w:tcPr>
            <w:tcW w:w="1019"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8"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75.7</w:t>
            </w:r>
          </w:p>
        </w:tc>
        <w:tc>
          <w:tcPr>
            <w:tcW w:w="1284"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9"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60.0</w:t>
            </w:r>
          </w:p>
        </w:tc>
        <w:tc>
          <w:tcPr>
            <w:tcW w:w="1310"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A"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60.7</w:t>
            </w:r>
          </w:p>
        </w:tc>
        <w:tc>
          <w:tcPr>
            <w:tcW w:w="132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B"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57.5%</w:t>
            </w:r>
          </w:p>
        </w:tc>
        <w:tc>
          <w:tcPr>
            <w:tcW w:w="100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C" w14:textId="77777777" w:rsidR="00254ABF" w:rsidRPr="005D2E4B" w:rsidRDefault="000F141A">
            <w:pPr>
              <w:spacing w:before="240" w:after="240" w:line="480" w:lineRule="auto"/>
              <w:jc w:val="right"/>
              <w:rPr>
                <w:rFonts w:ascii="Calibri" w:eastAsia="Times New Roman" w:hAnsi="Calibri" w:cs="Calibri"/>
              </w:rPr>
            </w:pPr>
            <w:r w:rsidRPr="005D2E4B">
              <w:rPr>
                <w:rFonts w:ascii="Calibri" w:eastAsia="Times New Roman" w:hAnsi="Calibri" w:cs="Calibri"/>
              </w:rPr>
              <w:t>62.5%</w:t>
            </w:r>
          </w:p>
        </w:tc>
        <w:tc>
          <w:tcPr>
            <w:tcW w:w="1946"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D" w14:textId="77777777" w:rsidR="00254ABF" w:rsidRPr="005D2E4B" w:rsidRDefault="000F141A">
            <w:pPr>
              <w:spacing w:before="240" w:after="240" w:line="480" w:lineRule="auto"/>
              <w:jc w:val="right"/>
              <w:rPr>
                <w:rFonts w:ascii="Calibri" w:eastAsia="Times New Roman" w:hAnsi="Calibri" w:cs="Calibri"/>
                <w:b/>
              </w:rPr>
            </w:pPr>
            <w:r w:rsidRPr="005D2E4B">
              <w:rPr>
                <w:rFonts w:ascii="Calibri" w:eastAsia="Times New Roman" w:hAnsi="Calibri" w:cs="Calibri"/>
                <w:b/>
              </w:rPr>
              <w:t>57.1%</w:t>
            </w:r>
          </w:p>
        </w:tc>
      </w:tr>
      <w:tr w:rsidR="00254ABF" w:rsidRPr="005D2E4B" w14:paraId="68169224" w14:textId="77777777">
        <w:trPr>
          <w:trHeight w:val="755"/>
        </w:trPr>
        <w:tc>
          <w:tcPr>
            <w:tcW w:w="5082" w:type="dxa"/>
            <w:gridSpan w:val="4"/>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8E" w14:textId="77777777" w:rsidR="00254ABF" w:rsidRPr="005D2E4B" w:rsidRDefault="000F141A">
            <w:pPr>
              <w:spacing w:before="240" w:after="240" w:line="480" w:lineRule="auto"/>
              <w:rPr>
                <w:rFonts w:ascii="Calibri" w:eastAsia="Times New Roman" w:hAnsi="Calibri" w:cs="Calibri"/>
                <w:color w:val="1155CC"/>
                <w:u w:val="single"/>
              </w:rPr>
            </w:pPr>
            <w:r w:rsidRPr="005D2E4B">
              <w:rPr>
                <w:rFonts w:ascii="Calibri" w:eastAsia="Times New Roman" w:hAnsi="Calibri" w:cs="Calibri"/>
              </w:rPr>
              <w:lastRenderedPageBreak/>
              <w:t>Source: University System of Georgia:</w:t>
            </w:r>
            <w:hyperlink r:id="rId9">
              <w:r w:rsidRPr="005D2E4B">
                <w:rPr>
                  <w:rFonts w:ascii="Calibri" w:eastAsia="Times New Roman" w:hAnsi="Calibri" w:cs="Calibri"/>
                </w:rPr>
                <w:t xml:space="preserve"> </w:t>
              </w:r>
            </w:hyperlink>
            <w:hyperlink r:id="rId10">
              <w:r w:rsidRPr="005D2E4B">
                <w:rPr>
                  <w:rFonts w:ascii="Calibri" w:eastAsia="Times New Roman" w:hAnsi="Calibri" w:cs="Calibri"/>
                  <w:color w:val="1155CC"/>
                  <w:u w:val="single"/>
                </w:rPr>
                <w:t>https://www.usg.edu/research/usgbythenumbers</w:t>
              </w:r>
            </w:hyperlink>
          </w:p>
        </w:tc>
        <w:tc>
          <w:tcPr>
            <w:tcW w:w="4275" w:type="dxa"/>
            <w:gridSpan w:val="3"/>
            <w:tcBorders>
              <w:top w:val="nil"/>
              <w:left w:val="nil"/>
              <w:bottom w:val="single" w:sz="8" w:space="0" w:color="000000"/>
              <w:right w:val="single" w:sz="8" w:space="0" w:color="000000"/>
            </w:tcBorders>
            <w:shd w:val="clear" w:color="auto" w:fill="auto"/>
            <w:tcMar>
              <w:top w:w="100" w:type="dxa"/>
              <w:left w:w="100" w:type="dxa"/>
              <w:bottom w:w="100" w:type="dxa"/>
              <w:right w:w="100" w:type="dxa"/>
            </w:tcMar>
            <w:vAlign w:val="bottom"/>
          </w:tcPr>
          <w:p w14:paraId="00000092"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Source: Internal (Banner + FASFA) data</w:t>
            </w:r>
          </w:p>
        </w:tc>
      </w:tr>
      <w:tr w:rsidR="00254ABF" w:rsidRPr="005D2E4B" w14:paraId="44F1682A" w14:textId="77777777">
        <w:trPr>
          <w:trHeight w:val="740"/>
        </w:trPr>
        <w:tc>
          <w:tcPr>
            <w:tcW w:w="9357" w:type="dxa"/>
            <w:gridSpan w:val="7"/>
            <w:tcBorders>
              <w:top w:val="nil"/>
              <w:left w:val="nil"/>
              <w:bottom w:val="nil"/>
              <w:right w:val="nil"/>
            </w:tcBorders>
            <w:shd w:val="clear" w:color="auto" w:fill="auto"/>
            <w:tcMar>
              <w:top w:w="100" w:type="dxa"/>
              <w:left w:w="100" w:type="dxa"/>
              <w:bottom w:w="100" w:type="dxa"/>
              <w:right w:w="100" w:type="dxa"/>
            </w:tcMar>
            <w:vAlign w:val="bottom"/>
          </w:tcPr>
          <w:p w14:paraId="00000095" w14:textId="77777777" w:rsidR="00254ABF" w:rsidRPr="005D2E4B" w:rsidRDefault="000F141A">
            <w:pPr>
              <w:spacing w:before="240" w:after="240" w:line="480" w:lineRule="auto"/>
              <w:rPr>
                <w:rFonts w:ascii="Calibri" w:eastAsia="Times New Roman" w:hAnsi="Calibri" w:cs="Calibri"/>
                <w:i/>
              </w:rPr>
            </w:pPr>
            <w:r w:rsidRPr="005D2E4B">
              <w:rPr>
                <w:rFonts w:ascii="Calibri" w:eastAsia="Times New Roman" w:hAnsi="Calibri" w:cs="Calibri"/>
                <w:i/>
              </w:rPr>
              <w:t>Table 3: One-year (Fall-to-Fall) retention rates among Georgia, State College, ABAC, Low-income and first-generation students</w:t>
            </w:r>
          </w:p>
        </w:tc>
      </w:tr>
    </w:tbl>
    <w:p w14:paraId="0000009C" w14:textId="78D1B0F9" w:rsidR="00254ABF" w:rsidRPr="005D2E4B" w:rsidRDefault="00254ABF">
      <w:pPr>
        <w:spacing w:after="80" w:line="480" w:lineRule="auto"/>
        <w:rPr>
          <w:rFonts w:ascii="Calibri" w:hAnsi="Calibri" w:cs="Calibri"/>
        </w:rPr>
      </w:pPr>
    </w:p>
    <w:p w14:paraId="0000009D" w14:textId="77777777" w:rsidR="00254ABF" w:rsidRPr="005D2E4B" w:rsidRDefault="000F141A">
      <w:pPr>
        <w:spacing w:after="80" w:line="480" w:lineRule="auto"/>
        <w:ind w:firstLine="720"/>
        <w:rPr>
          <w:rFonts w:ascii="Calibri" w:eastAsia="Times New Roman" w:hAnsi="Calibri" w:cs="Calibri"/>
        </w:rPr>
      </w:pPr>
      <w:r w:rsidRPr="005D2E4B">
        <w:rPr>
          <w:rFonts w:ascii="Calibri" w:eastAsia="Times New Roman" w:hAnsi="Calibri" w:cs="Calibri"/>
        </w:rPr>
        <w:t>Faculty, Staff, and Administration:</w:t>
      </w:r>
    </w:p>
    <w:p w14:paraId="0000009E" w14:textId="77777777" w:rsidR="00254ABF" w:rsidRPr="005D2E4B" w:rsidRDefault="000F141A">
      <w:pPr>
        <w:spacing w:before="240" w:after="240" w:line="480" w:lineRule="auto"/>
        <w:ind w:firstLine="720"/>
        <w:rPr>
          <w:rFonts w:ascii="Calibri" w:eastAsia="Times New Roman" w:hAnsi="Calibri" w:cs="Calibri"/>
          <w:b/>
        </w:rPr>
      </w:pPr>
      <w:r w:rsidRPr="005D2E4B">
        <w:rPr>
          <w:rFonts w:ascii="Calibri" w:eastAsia="Times New Roman" w:hAnsi="Calibri" w:cs="Calibri"/>
        </w:rPr>
        <w:t xml:space="preserve">ABAC has 147 full-time and 45 part-time faculty, where 61% of full-time faculty hold terminal degrees. During fall 2018, 88% of courses were taught by full-time faculty. Table 4 shows ABAC’s IPEDS-reported student/faculty ratio compared with other state colleges. </w:t>
      </w:r>
      <w:r w:rsidRPr="005D2E4B">
        <w:rPr>
          <w:rFonts w:ascii="Calibri" w:eastAsia="Times New Roman" w:hAnsi="Calibri" w:cs="Calibri"/>
          <w:b/>
        </w:rPr>
        <w:t>For the past three years, ABAC’s student faculty ratio is lower than the state average.</w:t>
      </w:r>
    </w:p>
    <w:tbl>
      <w:tblPr>
        <w:tblStyle w:val="a2"/>
        <w:tblW w:w="9105" w:type="dxa"/>
        <w:tblBorders>
          <w:top w:val="nil"/>
          <w:left w:val="nil"/>
          <w:bottom w:val="nil"/>
          <w:right w:val="nil"/>
          <w:insideH w:val="nil"/>
          <w:insideV w:val="nil"/>
        </w:tblBorders>
        <w:tblLayout w:type="fixed"/>
        <w:tblLook w:val="0600" w:firstRow="0" w:lastRow="0" w:firstColumn="0" w:lastColumn="0" w:noHBand="1" w:noVBand="1"/>
      </w:tblPr>
      <w:tblGrid>
        <w:gridCol w:w="4680"/>
        <w:gridCol w:w="1395"/>
        <w:gridCol w:w="1455"/>
        <w:gridCol w:w="1575"/>
      </w:tblGrid>
      <w:tr w:rsidR="00254ABF" w:rsidRPr="005D2E4B" w14:paraId="7C35DB1C" w14:textId="77777777">
        <w:trPr>
          <w:trHeight w:val="485"/>
        </w:trPr>
        <w:tc>
          <w:tcPr>
            <w:tcW w:w="4680" w:type="dxa"/>
            <w:tcBorders>
              <w:top w:val="single" w:sz="8" w:space="0" w:color="000000"/>
              <w:left w:val="single" w:sz="8" w:space="0" w:color="000000"/>
              <w:bottom w:val="single" w:sz="12" w:space="0" w:color="000000"/>
              <w:right w:val="single" w:sz="8" w:space="0" w:color="000000"/>
            </w:tcBorders>
            <w:shd w:val="clear" w:color="auto" w:fill="auto"/>
            <w:tcMar>
              <w:top w:w="100" w:type="dxa"/>
              <w:left w:w="100" w:type="dxa"/>
              <w:bottom w:w="100" w:type="dxa"/>
              <w:right w:w="100" w:type="dxa"/>
            </w:tcMar>
          </w:tcPr>
          <w:p w14:paraId="0000009F"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Institution</w:t>
            </w:r>
          </w:p>
        </w:tc>
        <w:tc>
          <w:tcPr>
            <w:tcW w:w="1395" w:type="dxa"/>
            <w:tcBorders>
              <w:top w:val="single" w:sz="8" w:space="0" w:color="000000"/>
              <w:left w:val="nil"/>
              <w:bottom w:val="single" w:sz="12" w:space="0" w:color="000000"/>
              <w:right w:val="single" w:sz="8" w:space="0" w:color="000000"/>
            </w:tcBorders>
            <w:shd w:val="clear" w:color="auto" w:fill="auto"/>
            <w:tcMar>
              <w:top w:w="100" w:type="dxa"/>
              <w:left w:w="100" w:type="dxa"/>
              <w:bottom w:w="100" w:type="dxa"/>
              <w:right w:w="100" w:type="dxa"/>
            </w:tcMar>
          </w:tcPr>
          <w:p w14:paraId="000000A0"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2016</w:t>
            </w:r>
          </w:p>
        </w:tc>
        <w:tc>
          <w:tcPr>
            <w:tcW w:w="1455" w:type="dxa"/>
            <w:tcBorders>
              <w:top w:val="single" w:sz="8" w:space="0" w:color="000000"/>
              <w:left w:val="nil"/>
              <w:bottom w:val="single" w:sz="12" w:space="0" w:color="000000"/>
              <w:right w:val="single" w:sz="8" w:space="0" w:color="000000"/>
            </w:tcBorders>
            <w:shd w:val="clear" w:color="auto" w:fill="auto"/>
            <w:tcMar>
              <w:top w:w="100" w:type="dxa"/>
              <w:left w:w="100" w:type="dxa"/>
              <w:bottom w:w="100" w:type="dxa"/>
              <w:right w:w="100" w:type="dxa"/>
            </w:tcMar>
          </w:tcPr>
          <w:p w14:paraId="000000A1"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2015</w:t>
            </w:r>
          </w:p>
        </w:tc>
        <w:tc>
          <w:tcPr>
            <w:tcW w:w="1575" w:type="dxa"/>
            <w:tcBorders>
              <w:top w:val="single" w:sz="8" w:space="0" w:color="000000"/>
              <w:left w:val="nil"/>
              <w:bottom w:val="single" w:sz="12" w:space="0" w:color="000000"/>
              <w:right w:val="single" w:sz="8" w:space="0" w:color="000000"/>
            </w:tcBorders>
            <w:shd w:val="clear" w:color="auto" w:fill="auto"/>
            <w:tcMar>
              <w:top w:w="100" w:type="dxa"/>
              <w:left w:w="100" w:type="dxa"/>
              <w:bottom w:w="100" w:type="dxa"/>
              <w:right w:w="100" w:type="dxa"/>
            </w:tcMar>
          </w:tcPr>
          <w:p w14:paraId="000000A2"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2014</w:t>
            </w:r>
          </w:p>
        </w:tc>
      </w:tr>
      <w:tr w:rsidR="00254ABF" w:rsidRPr="005D2E4B" w14:paraId="3923C8CB" w14:textId="77777777">
        <w:trPr>
          <w:trHeight w:val="500"/>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A3"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State College Average</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4"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21</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5"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26</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6"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23</w:t>
            </w:r>
          </w:p>
        </w:tc>
      </w:tr>
      <w:tr w:rsidR="00254ABF" w:rsidRPr="005D2E4B" w14:paraId="2CDAE4E5" w14:textId="77777777">
        <w:trPr>
          <w:trHeight w:val="485"/>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A7" w14:textId="77777777" w:rsidR="00254ABF" w:rsidRPr="005D2E4B" w:rsidRDefault="000F141A">
            <w:pPr>
              <w:spacing w:before="240" w:after="240" w:line="480" w:lineRule="auto"/>
              <w:rPr>
                <w:rFonts w:ascii="Calibri" w:eastAsia="Times New Roman" w:hAnsi="Calibri" w:cs="Calibri"/>
                <w:b/>
              </w:rPr>
            </w:pPr>
            <w:r w:rsidRPr="005D2E4B">
              <w:rPr>
                <w:rFonts w:ascii="Calibri" w:eastAsia="Times New Roman" w:hAnsi="Calibri" w:cs="Calibri"/>
                <w:b/>
              </w:rPr>
              <w:t>Abraham Baldwin Agricultural College</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8"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20</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9"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20</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A"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21</w:t>
            </w:r>
          </w:p>
        </w:tc>
      </w:tr>
      <w:tr w:rsidR="00254ABF" w:rsidRPr="005D2E4B" w14:paraId="648BF42A" w14:textId="77777777">
        <w:trPr>
          <w:trHeight w:val="485"/>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AB"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College of Coastal Georgia</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C"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19</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D"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19</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AE"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18</w:t>
            </w:r>
          </w:p>
        </w:tc>
      </w:tr>
      <w:tr w:rsidR="00254ABF" w:rsidRPr="005D2E4B" w14:paraId="6822DA54" w14:textId="77777777">
        <w:trPr>
          <w:trHeight w:val="485"/>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AF"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lastRenderedPageBreak/>
              <w:t>Dalton State College</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0"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21</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1"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30</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2"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29</w:t>
            </w:r>
          </w:p>
        </w:tc>
      </w:tr>
      <w:tr w:rsidR="00254ABF" w:rsidRPr="005D2E4B" w14:paraId="1C1EB803" w14:textId="77777777">
        <w:trPr>
          <w:trHeight w:val="485"/>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B3"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East Georgia State College</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4"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24</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5"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28</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6"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28</w:t>
            </w:r>
          </w:p>
        </w:tc>
      </w:tr>
      <w:tr w:rsidR="00254ABF" w:rsidRPr="005D2E4B" w14:paraId="6186095B" w14:textId="77777777">
        <w:trPr>
          <w:trHeight w:val="485"/>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B7"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Georgia Gwinnett College</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8"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18</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9"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18</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A"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19</w:t>
            </w:r>
          </w:p>
        </w:tc>
      </w:tr>
      <w:tr w:rsidR="00254ABF" w:rsidRPr="005D2E4B" w14:paraId="6E21BFB9" w14:textId="77777777">
        <w:trPr>
          <w:trHeight w:val="485"/>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BB"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Georgia Highlands College</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C"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21</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D"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20</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BE"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21</w:t>
            </w:r>
          </w:p>
        </w:tc>
      </w:tr>
      <w:tr w:rsidR="00254ABF" w:rsidRPr="005D2E4B" w14:paraId="1FC509FB" w14:textId="77777777">
        <w:trPr>
          <w:trHeight w:val="485"/>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BF"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Gordon State College</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C0"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20</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C1"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20</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C2"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21</w:t>
            </w:r>
          </w:p>
        </w:tc>
      </w:tr>
      <w:tr w:rsidR="00254ABF" w:rsidRPr="005D2E4B" w14:paraId="651C99B4" w14:textId="77777777">
        <w:trPr>
          <w:trHeight w:val="485"/>
        </w:trPr>
        <w:tc>
          <w:tcPr>
            <w:tcW w:w="468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C3"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South Georgia State College</w:t>
            </w:r>
          </w:p>
        </w:tc>
        <w:tc>
          <w:tcPr>
            <w:tcW w:w="139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C4"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22</w:t>
            </w:r>
          </w:p>
        </w:tc>
        <w:tc>
          <w:tcPr>
            <w:tcW w:w="145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C5"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27</w:t>
            </w:r>
          </w:p>
        </w:tc>
        <w:tc>
          <w:tcPr>
            <w:tcW w:w="157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C6"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28</w:t>
            </w:r>
          </w:p>
        </w:tc>
      </w:tr>
      <w:tr w:rsidR="00254ABF" w:rsidRPr="005D2E4B" w14:paraId="15417F16" w14:textId="77777777">
        <w:trPr>
          <w:trHeight w:val="470"/>
        </w:trPr>
        <w:tc>
          <w:tcPr>
            <w:tcW w:w="9105" w:type="dxa"/>
            <w:gridSpan w:val="4"/>
            <w:tcBorders>
              <w:top w:val="nil"/>
              <w:left w:val="nil"/>
              <w:bottom w:val="nil"/>
              <w:right w:val="nil"/>
            </w:tcBorders>
            <w:shd w:val="clear" w:color="auto" w:fill="auto"/>
            <w:tcMar>
              <w:top w:w="100" w:type="dxa"/>
              <w:left w:w="100" w:type="dxa"/>
              <w:bottom w:w="100" w:type="dxa"/>
              <w:right w:w="100" w:type="dxa"/>
            </w:tcMar>
          </w:tcPr>
          <w:p w14:paraId="000000C7"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Table 4: Student-to-Faculty Ratios Across State Colleges in Georgia</w:t>
            </w:r>
          </w:p>
        </w:tc>
      </w:tr>
    </w:tbl>
    <w:p w14:paraId="000000CB" w14:textId="77777777" w:rsidR="00254ABF" w:rsidRPr="005D2E4B" w:rsidRDefault="000F141A">
      <w:pPr>
        <w:spacing w:before="240" w:line="480" w:lineRule="auto"/>
        <w:ind w:right="140"/>
        <w:rPr>
          <w:rFonts w:ascii="Calibri" w:eastAsia="Times New Roman" w:hAnsi="Calibri" w:cs="Calibri"/>
        </w:rPr>
      </w:pPr>
      <w:r w:rsidRPr="005D2E4B">
        <w:rPr>
          <w:rFonts w:ascii="Calibri" w:eastAsia="Times New Roman" w:hAnsi="Calibri" w:cs="Calibri"/>
        </w:rPr>
        <w:t>NOTE: ABAC data includes the average of the ABAC and of the former Bainbridge State College</w:t>
      </w:r>
    </w:p>
    <w:p w14:paraId="000000CC" w14:textId="77777777" w:rsidR="00254ABF" w:rsidRPr="005D2E4B" w:rsidRDefault="000F141A">
      <w:pPr>
        <w:spacing w:before="240" w:line="480" w:lineRule="auto"/>
        <w:ind w:right="140"/>
        <w:rPr>
          <w:rFonts w:ascii="Calibri" w:eastAsia="Times New Roman" w:hAnsi="Calibri" w:cs="Calibri"/>
        </w:rPr>
      </w:pPr>
      <w:r w:rsidRPr="005D2E4B">
        <w:rPr>
          <w:rFonts w:ascii="Calibri" w:eastAsia="Times New Roman" w:hAnsi="Calibri" w:cs="Calibri"/>
        </w:rPr>
        <w:t>ABAC is led by President David C. Bridges. The President’s Cabinet includes the four Vice Presidents—Executive Vice President for Finance and Administration, the Provost and Vice President for Academic Affairs, Vice President of External Affairs, and Vice President for Technology/</w:t>
      </w:r>
      <w:proofErr w:type="gramStart"/>
      <w:r w:rsidRPr="005D2E4B">
        <w:rPr>
          <w:rFonts w:ascii="Calibri" w:eastAsia="Times New Roman" w:hAnsi="Calibri" w:cs="Calibri"/>
        </w:rPr>
        <w:t>CIO;</w:t>
      </w:r>
      <w:proofErr w:type="gramEnd"/>
      <w:r w:rsidRPr="005D2E4B">
        <w:rPr>
          <w:rFonts w:ascii="Calibri" w:eastAsia="Times New Roman" w:hAnsi="Calibri" w:cs="Calibri"/>
        </w:rPr>
        <w:t xml:space="preserve"> Executive Director, Bainbridge campus. Academic Affairs and the departments/areas directly reporting to the Provost and Vice President for Academic Affairs have the primary responsibility for providing mission-specific </w:t>
      </w:r>
      <w:r w:rsidRPr="005D2E4B">
        <w:rPr>
          <w:rFonts w:ascii="Calibri" w:eastAsia="Times New Roman" w:hAnsi="Calibri" w:cs="Calibri"/>
        </w:rPr>
        <w:lastRenderedPageBreak/>
        <w:t>academic and student support programs, services, and activities for ABAC students and faculty, regardless of location.</w:t>
      </w:r>
    </w:p>
    <w:p w14:paraId="000000CD" w14:textId="77777777" w:rsidR="00254ABF" w:rsidRPr="005D2E4B" w:rsidRDefault="000F141A">
      <w:pPr>
        <w:spacing w:before="240" w:line="480" w:lineRule="auto"/>
        <w:ind w:right="140"/>
        <w:rPr>
          <w:rFonts w:ascii="Calibri" w:eastAsia="Times New Roman" w:hAnsi="Calibri" w:cs="Calibri"/>
          <w:b/>
        </w:rPr>
      </w:pPr>
      <w:r w:rsidRPr="005D2E4B">
        <w:rPr>
          <w:rFonts w:ascii="Calibri" w:eastAsia="Times New Roman" w:hAnsi="Calibri" w:cs="Calibri"/>
          <w:b/>
        </w:rPr>
        <w:t>Academic Programs and Accreditation:</w:t>
      </w:r>
    </w:p>
    <w:tbl>
      <w:tblPr>
        <w:tblStyle w:val="a3"/>
        <w:tblW w:w="9100" w:type="dxa"/>
        <w:tblInd w:w="260" w:type="dxa"/>
        <w:tblBorders>
          <w:top w:val="nil"/>
          <w:left w:val="nil"/>
          <w:bottom w:val="nil"/>
          <w:right w:val="nil"/>
          <w:insideH w:val="nil"/>
          <w:insideV w:val="nil"/>
        </w:tblBorders>
        <w:tblLayout w:type="fixed"/>
        <w:tblLook w:val="0600" w:firstRow="0" w:lastRow="0" w:firstColumn="0" w:lastColumn="0" w:noHBand="1" w:noVBand="1"/>
      </w:tblPr>
      <w:tblGrid>
        <w:gridCol w:w="1620"/>
        <w:gridCol w:w="3152"/>
        <w:gridCol w:w="2465"/>
        <w:gridCol w:w="1863"/>
      </w:tblGrid>
      <w:tr w:rsidR="00254ABF" w:rsidRPr="005D2E4B" w14:paraId="0CB529AA" w14:textId="77777777" w:rsidTr="009F7C4D">
        <w:trPr>
          <w:trHeight w:val="995"/>
        </w:trPr>
        <w:tc>
          <w:tcPr>
            <w:tcW w:w="1620"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CE"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Degree</w:t>
            </w:r>
          </w:p>
        </w:tc>
        <w:tc>
          <w:tcPr>
            <w:tcW w:w="3152"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00000CF"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Major Program</w:t>
            </w:r>
          </w:p>
        </w:tc>
        <w:tc>
          <w:tcPr>
            <w:tcW w:w="2465"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00000D0"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b/>
              </w:rPr>
              <w:t xml:space="preserve">Degrees Conferred FY18 </w:t>
            </w:r>
            <w:r w:rsidRPr="005D2E4B">
              <w:rPr>
                <w:rFonts w:ascii="Calibri" w:eastAsia="Times New Roman" w:hAnsi="Calibri" w:cs="Calibri"/>
              </w:rPr>
              <w:t>(ABAC+BSC)</w:t>
            </w:r>
          </w:p>
        </w:tc>
        <w:tc>
          <w:tcPr>
            <w:tcW w:w="1863" w:type="dxa"/>
            <w:tcBorders>
              <w:top w:val="single" w:sz="8" w:space="0" w:color="000000"/>
              <w:left w:val="nil"/>
              <w:bottom w:val="single" w:sz="8" w:space="0" w:color="000000"/>
              <w:right w:val="single" w:sz="8" w:space="0" w:color="000000"/>
            </w:tcBorders>
            <w:shd w:val="clear" w:color="auto" w:fill="auto"/>
            <w:tcMar>
              <w:top w:w="100" w:type="dxa"/>
              <w:left w:w="100" w:type="dxa"/>
              <w:bottom w:w="100" w:type="dxa"/>
              <w:right w:w="100" w:type="dxa"/>
            </w:tcMar>
          </w:tcPr>
          <w:p w14:paraId="000000D1"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Enrolled</w:t>
            </w:r>
          </w:p>
          <w:p w14:paraId="000000D2" w14:textId="77777777" w:rsidR="00254ABF" w:rsidRPr="005D2E4B" w:rsidRDefault="000F141A">
            <w:pPr>
              <w:spacing w:before="240" w:after="240" w:line="480" w:lineRule="auto"/>
              <w:jc w:val="center"/>
              <w:rPr>
                <w:rFonts w:ascii="Calibri" w:eastAsia="Times New Roman" w:hAnsi="Calibri" w:cs="Calibri"/>
                <w:b/>
              </w:rPr>
            </w:pPr>
            <w:r w:rsidRPr="005D2E4B">
              <w:rPr>
                <w:rFonts w:ascii="Calibri" w:eastAsia="Times New Roman" w:hAnsi="Calibri" w:cs="Calibri"/>
                <w:b/>
              </w:rPr>
              <w:t>Fall 2018</w:t>
            </w:r>
          </w:p>
        </w:tc>
      </w:tr>
      <w:tr w:rsidR="00254ABF" w:rsidRPr="005D2E4B" w14:paraId="1D0C1ADA" w14:textId="77777777" w:rsidTr="009F7C4D">
        <w:trPr>
          <w:trHeight w:val="500"/>
        </w:trPr>
        <w:tc>
          <w:tcPr>
            <w:tcW w:w="1620" w:type="dxa"/>
            <w:vMerge w:val="restart"/>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D3"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B.S.</w:t>
            </w: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4"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Agribusiness*</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5"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13</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6"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219</w:t>
            </w:r>
          </w:p>
        </w:tc>
      </w:tr>
      <w:tr w:rsidR="00254ABF" w:rsidRPr="005D2E4B" w14:paraId="746EEA98"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D7"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8"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Agricultural Communication*</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9"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5</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A"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38</w:t>
            </w:r>
          </w:p>
        </w:tc>
      </w:tr>
      <w:tr w:rsidR="00254ABF" w:rsidRPr="005D2E4B" w14:paraId="5E2ABB68"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DB"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C"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Agricultural Education*</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D"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DE"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165</w:t>
            </w:r>
          </w:p>
        </w:tc>
      </w:tr>
      <w:tr w:rsidR="00254ABF" w:rsidRPr="005D2E4B" w14:paraId="28647E18"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DF"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0"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Agriculture</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1"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104</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2"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437</w:t>
            </w:r>
          </w:p>
        </w:tc>
      </w:tr>
      <w:tr w:rsidR="00254ABF" w:rsidRPr="005D2E4B" w14:paraId="3246151E"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E3"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4"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Biology</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5"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22</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6"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444</w:t>
            </w:r>
          </w:p>
        </w:tc>
      </w:tr>
      <w:tr w:rsidR="00254ABF" w:rsidRPr="005D2E4B" w14:paraId="45A4F4CB"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E7"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8"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Business</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9"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45</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A"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346</w:t>
            </w:r>
          </w:p>
        </w:tc>
      </w:tr>
      <w:tr w:rsidR="00254ABF" w:rsidRPr="005D2E4B" w14:paraId="644FE1DE"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EB"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C"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Environmental Horticulture</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D"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16</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EE"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83</w:t>
            </w:r>
          </w:p>
        </w:tc>
      </w:tr>
      <w:tr w:rsidR="00254ABF" w:rsidRPr="005D2E4B" w14:paraId="6798DE7C"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EF"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0"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History and Government*</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1"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3</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2"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46</w:t>
            </w:r>
          </w:p>
        </w:tc>
      </w:tr>
      <w:tr w:rsidR="00254ABF" w:rsidRPr="005D2E4B" w14:paraId="6E9C16E8"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F3"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4"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Natural Resource Management</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5"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30</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6"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233</w:t>
            </w:r>
          </w:p>
        </w:tc>
      </w:tr>
      <w:tr w:rsidR="00254ABF" w:rsidRPr="005D2E4B" w14:paraId="7527B6A4" w14:textId="77777777" w:rsidTr="009F7C4D">
        <w:trPr>
          <w:trHeight w:val="485"/>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F7"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8"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Rural Community Development*</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9"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4</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A"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64</w:t>
            </w:r>
          </w:p>
        </w:tc>
      </w:tr>
      <w:tr w:rsidR="00254ABF" w:rsidRPr="005D2E4B" w14:paraId="0F96B53B" w14:textId="77777777" w:rsidTr="009F7C4D">
        <w:trPr>
          <w:trHeight w:val="500"/>
        </w:trPr>
        <w:tc>
          <w:tcPr>
            <w:tcW w:w="1620" w:type="dxa"/>
            <w:vMerge/>
            <w:tcBorders>
              <w:bottom w:val="single" w:sz="8" w:space="0" w:color="000000"/>
              <w:right w:val="single" w:sz="8" w:space="0" w:color="000000"/>
            </w:tcBorders>
            <w:shd w:val="clear" w:color="auto" w:fill="auto"/>
            <w:tcMar>
              <w:top w:w="100" w:type="dxa"/>
              <w:left w:w="100" w:type="dxa"/>
              <w:bottom w:w="100" w:type="dxa"/>
              <w:right w:w="100" w:type="dxa"/>
            </w:tcMar>
          </w:tcPr>
          <w:p w14:paraId="000000FB" w14:textId="77777777" w:rsidR="00254ABF" w:rsidRPr="005D2E4B" w:rsidRDefault="00254ABF">
            <w:pPr>
              <w:spacing w:before="240" w:after="240" w:line="480" w:lineRule="auto"/>
              <w:ind w:firstLine="720"/>
              <w:rPr>
                <w:rFonts w:ascii="Calibri" w:eastAsia="Times New Roman" w:hAnsi="Calibri" w:cs="Calibri"/>
              </w:rPr>
            </w:pP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C"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Writing and Communication*</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D"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6</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0FE"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45</w:t>
            </w:r>
          </w:p>
        </w:tc>
      </w:tr>
      <w:tr w:rsidR="00254ABF" w:rsidRPr="005D2E4B" w14:paraId="23B35175" w14:textId="77777777" w:rsidTr="009F7C4D">
        <w:trPr>
          <w:trHeight w:val="48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0FF"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B.S.N.</w:t>
            </w: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0"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Nursing (RN to BSN) *</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1"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18</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2"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49</w:t>
            </w:r>
          </w:p>
        </w:tc>
      </w:tr>
      <w:tr w:rsidR="00254ABF" w:rsidRPr="005D2E4B" w14:paraId="3148B1BF" w14:textId="77777777" w:rsidTr="009F7C4D">
        <w:trPr>
          <w:trHeight w:val="75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03"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A.A. &amp; A.S.</w:t>
            </w: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4"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Core Curriculum (transfer associate)</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5"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322</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6"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1,132</w:t>
            </w:r>
          </w:p>
        </w:tc>
      </w:tr>
      <w:tr w:rsidR="00254ABF" w:rsidRPr="005D2E4B" w14:paraId="4CD7C7B9" w14:textId="77777777" w:rsidTr="009F7C4D">
        <w:trPr>
          <w:trHeight w:val="48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07"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A.S.N.</w:t>
            </w: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8"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Nursing</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9"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122</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A"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883</w:t>
            </w:r>
          </w:p>
        </w:tc>
      </w:tr>
      <w:tr w:rsidR="00254ABF" w:rsidRPr="005D2E4B" w14:paraId="0D15EE29" w14:textId="77777777" w:rsidTr="009F7C4D">
        <w:trPr>
          <w:trHeight w:val="485"/>
        </w:trPr>
        <w:tc>
          <w:tcPr>
            <w:tcW w:w="1620" w:type="dxa"/>
            <w:tcBorders>
              <w:top w:val="nil"/>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14:paraId="0000010B"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A.F.A.M.</w:t>
            </w:r>
          </w:p>
        </w:tc>
        <w:tc>
          <w:tcPr>
            <w:tcW w:w="3152"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C"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rPr>
              <w:t>Music</w:t>
            </w:r>
          </w:p>
        </w:tc>
        <w:tc>
          <w:tcPr>
            <w:tcW w:w="2465"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D"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12</w:t>
            </w:r>
          </w:p>
        </w:tc>
        <w:tc>
          <w:tcPr>
            <w:tcW w:w="1863" w:type="dxa"/>
            <w:tcBorders>
              <w:top w:val="nil"/>
              <w:left w:val="nil"/>
              <w:bottom w:val="single" w:sz="8" w:space="0" w:color="000000"/>
              <w:right w:val="single" w:sz="8" w:space="0" w:color="000000"/>
            </w:tcBorders>
            <w:shd w:val="clear" w:color="auto" w:fill="auto"/>
            <w:tcMar>
              <w:top w:w="100" w:type="dxa"/>
              <w:left w:w="100" w:type="dxa"/>
              <w:bottom w:w="100" w:type="dxa"/>
              <w:right w:w="100" w:type="dxa"/>
            </w:tcMar>
          </w:tcPr>
          <w:p w14:paraId="0000010E" w14:textId="77777777" w:rsidR="00254ABF" w:rsidRPr="005D2E4B" w:rsidRDefault="000F141A">
            <w:pPr>
              <w:spacing w:before="240" w:after="240" w:line="480" w:lineRule="auto"/>
              <w:jc w:val="center"/>
              <w:rPr>
                <w:rFonts w:ascii="Calibri" w:eastAsia="Times New Roman" w:hAnsi="Calibri" w:cs="Calibri"/>
              </w:rPr>
            </w:pPr>
            <w:r w:rsidRPr="005D2E4B">
              <w:rPr>
                <w:rFonts w:ascii="Calibri" w:eastAsia="Times New Roman" w:hAnsi="Calibri" w:cs="Calibri"/>
              </w:rPr>
              <w:t>26</w:t>
            </w:r>
          </w:p>
        </w:tc>
      </w:tr>
      <w:tr w:rsidR="00254ABF" w:rsidRPr="005D2E4B" w14:paraId="1D5E483B" w14:textId="77777777" w:rsidTr="009F7C4D">
        <w:trPr>
          <w:trHeight w:val="470"/>
        </w:trPr>
        <w:tc>
          <w:tcPr>
            <w:tcW w:w="9100" w:type="dxa"/>
            <w:gridSpan w:val="4"/>
            <w:tcBorders>
              <w:top w:val="nil"/>
              <w:left w:val="nil"/>
              <w:bottom w:val="nil"/>
              <w:right w:val="nil"/>
            </w:tcBorders>
            <w:shd w:val="clear" w:color="auto" w:fill="auto"/>
            <w:tcMar>
              <w:top w:w="100" w:type="dxa"/>
              <w:left w:w="100" w:type="dxa"/>
              <w:bottom w:w="100" w:type="dxa"/>
              <w:right w:w="100" w:type="dxa"/>
            </w:tcMar>
          </w:tcPr>
          <w:p w14:paraId="0000010F" w14:textId="77777777" w:rsidR="00254ABF" w:rsidRPr="005D2E4B" w:rsidRDefault="000F141A">
            <w:pPr>
              <w:spacing w:before="240" w:line="480" w:lineRule="auto"/>
              <w:rPr>
                <w:rFonts w:ascii="Calibri" w:eastAsia="Times New Roman" w:hAnsi="Calibri" w:cs="Calibri"/>
              </w:rPr>
            </w:pPr>
            <w:r w:rsidRPr="005D2E4B">
              <w:rPr>
                <w:rFonts w:ascii="Calibri" w:eastAsia="Times New Roman" w:hAnsi="Calibri" w:cs="Calibri"/>
              </w:rPr>
              <w:t>Table 5: Academic Programs and Accreditation</w:t>
            </w:r>
          </w:p>
        </w:tc>
      </w:tr>
      <w:tr w:rsidR="00254ABF" w:rsidRPr="005D2E4B" w14:paraId="4505AECA" w14:textId="77777777" w:rsidTr="009F7C4D">
        <w:trPr>
          <w:trHeight w:val="470"/>
        </w:trPr>
        <w:tc>
          <w:tcPr>
            <w:tcW w:w="9100" w:type="dxa"/>
            <w:gridSpan w:val="4"/>
            <w:tcBorders>
              <w:top w:val="nil"/>
              <w:left w:val="nil"/>
              <w:bottom w:val="nil"/>
              <w:right w:val="nil"/>
            </w:tcBorders>
            <w:shd w:val="clear" w:color="auto" w:fill="auto"/>
            <w:tcMar>
              <w:top w:w="100" w:type="dxa"/>
              <w:left w:w="100" w:type="dxa"/>
              <w:bottom w:w="100" w:type="dxa"/>
              <w:right w:w="100" w:type="dxa"/>
            </w:tcMar>
          </w:tcPr>
          <w:p w14:paraId="00000113" w14:textId="77777777" w:rsidR="00254ABF" w:rsidRPr="005D2E4B" w:rsidRDefault="000F141A">
            <w:pPr>
              <w:spacing w:before="240" w:after="240" w:line="480" w:lineRule="auto"/>
              <w:rPr>
                <w:rFonts w:ascii="Calibri" w:eastAsia="Times New Roman" w:hAnsi="Calibri" w:cs="Calibri"/>
                <w:i/>
              </w:rPr>
            </w:pPr>
            <w:r w:rsidRPr="005D2E4B">
              <w:rPr>
                <w:rFonts w:ascii="Calibri" w:eastAsia="Times New Roman" w:hAnsi="Calibri" w:cs="Calibri"/>
                <w:i/>
              </w:rPr>
              <w:t>Degrees conferred is reported from</w:t>
            </w:r>
            <w:hyperlink r:id="rId11">
              <w:r w:rsidRPr="005D2E4B">
                <w:rPr>
                  <w:rFonts w:ascii="Calibri" w:eastAsia="Times New Roman" w:hAnsi="Calibri" w:cs="Calibri"/>
                  <w:i/>
                </w:rPr>
                <w:t xml:space="preserve"> </w:t>
              </w:r>
            </w:hyperlink>
            <w:hyperlink r:id="rId12">
              <w:r w:rsidRPr="005D2E4B">
                <w:rPr>
                  <w:rFonts w:ascii="Calibri" w:eastAsia="Times New Roman" w:hAnsi="Calibri" w:cs="Calibri"/>
                  <w:i/>
                  <w:u w:val="single"/>
                </w:rPr>
                <w:t>www.usg.edu</w:t>
              </w:r>
            </w:hyperlink>
            <w:r w:rsidRPr="005D2E4B">
              <w:rPr>
                <w:rFonts w:ascii="Calibri" w:eastAsia="Times New Roman" w:hAnsi="Calibri" w:cs="Calibri"/>
                <w:i/>
              </w:rPr>
              <w:t>.</w:t>
            </w:r>
          </w:p>
        </w:tc>
      </w:tr>
    </w:tbl>
    <w:p w14:paraId="00000117" w14:textId="77777777" w:rsidR="00254ABF" w:rsidRPr="005D2E4B" w:rsidRDefault="000F141A">
      <w:pPr>
        <w:spacing w:before="240" w:after="240" w:line="480" w:lineRule="auto"/>
        <w:rPr>
          <w:rFonts w:ascii="Calibri" w:eastAsia="Times New Roman" w:hAnsi="Calibri" w:cs="Calibri"/>
          <w:i/>
        </w:rPr>
      </w:pPr>
      <w:r w:rsidRPr="005D2E4B">
        <w:rPr>
          <w:rFonts w:ascii="Calibri" w:eastAsia="Times New Roman" w:hAnsi="Calibri" w:cs="Calibri"/>
          <w:i/>
        </w:rPr>
        <w:lastRenderedPageBreak/>
        <w:t xml:space="preserve">*These programs were established between 2016-2018. </w:t>
      </w:r>
    </w:p>
    <w:p w14:paraId="00000118" w14:textId="77777777" w:rsidR="00254ABF" w:rsidRPr="005D2E4B" w:rsidRDefault="000F141A">
      <w:pPr>
        <w:spacing w:before="240" w:after="240" w:line="480" w:lineRule="auto"/>
        <w:rPr>
          <w:rFonts w:ascii="Calibri" w:eastAsia="Times New Roman" w:hAnsi="Calibri" w:cs="Calibri"/>
        </w:rPr>
      </w:pPr>
      <w:r w:rsidRPr="005D2E4B">
        <w:rPr>
          <w:rFonts w:ascii="Calibri" w:eastAsia="Times New Roman" w:hAnsi="Calibri" w:cs="Calibri"/>
          <w:i/>
        </w:rPr>
        <w:t xml:space="preserve"> </w:t>
      </w:r>
      <w:r w:rsidRPr="005D2E4B">
        <w:rPr>
          <w:rFonts w:ascii="Calibri" w:eastAsia="Times New Roman" w:hAnsi="Calibri" w:cs="Calibri"/>
          <w:i/>
        </w:rPr>
        <w:tab/>
      </w:r>
      <w:r w:rsidRPr="005D2E4B">
        <w:rPr>
          <w:rFonts w:ascii="Calibri" w:eastAsia="Times New Roman" w:hAnsi="Calibri" w:cs="Calibri"/>
        </w:rPr>
        <w:t>In addition to SACSCOC institutional accreditation, the A.S.N and B.S.N programs are accredited by the Accreditation Commission for Education in Nursing (ACEN). The B.S in Natural Resource Management, Forestry track is accredited by the Society of American Foresters (SAF). The B.S. Agricultural Education program is approved by the Georgia Professional Standards Commission as an Education Preparation Provider.</w:t>
      </w:r>
    </w:p>
    <w:p w14:paraId="00000119" w14:textId="77777777" w:rsidR="00254ABF" w:rsidRPr="005D2E4B" w:rsidRDefault="000F141A">
      <w:pPr>
        <w:spacing w:before="240" w:line="480" w:lineRule="auto"/>
        <w:ind w:firstLine="720"/>
        <w:rPr>
          <w:rFonts w:ascii="Calibri" w:eastAsia="Times New Roman" w:hAnsi="Calibri" w:cs="Calibri"/>
        </w:rPr>
      </w:pPr>
      <w:r w:rsidRPr="005D2E4B">
        <w:rPr>
          <w:rFonts w:ascii="Calibri" w:eastAsia="Times New Roman" w:hAnsi="Calibri" w:cs="Calibri"/>
        </w:rPr>
        <w:t xml:space="preserve">ABAC transitioned from a two-year program into a four-year program about ten years ago. The college overall has worked tirelessly to provide programs that meet the needs of </w:t>
      </w:r>
      <w:proofErr w:type="gramStart"/>
      <w:r w:rsidRPr="005D2E4B">
        <w:rPr>
          <w:rFonts w:ascii="Calibri" w:eastAsia="Times New Roman" w:hAnsi="Calibri" w:cs="Calibri"/>
        </w:rPr>
        <w:t>south Georgia</w:t>
      </w:r>
      <w:proofErr w:type="gramEnd"/>
      <w:r w:rsidRPr="005D2E4B">
        <w:rPr>
          <w:rFonts w:ascii="Calibri" w:eastAsia="Times New Roman" w:hAnsi="Calibri" w:cs="Calibri"/>
        </w:rPr>
        <w:t xml:space="preserve">. The agricultural community in the local area depend heavily on the excellent work many of the undergraduates do while attending ABAC. The following chapters will provide evidence of this fact. There is still more program growth needed, but ABAC focuses on what programs will best serve </w:t>
      </w:r>
      <w:proofErr w:type="gramStart"/>
      <w:r w:rsidRPr="005D2E4B">
        <w:rPr>
          <w:rFonts w:ascii="Calibri" w:eastAsia="Times New Roman" w:hAnsi="Calibri" w:cs="Calibri"/>
        </w:rPr>
        <w:t>south Georgia</w:t>
      </w:r>
      <w:proofErr w:type="gramEnd"/>
      <w:r w:rsidRPr="005D2E4B">
        <w:rPr>
          <w:rFonts w:ascii="Calibri" w:eastAsia="Times New Roman" w:hAnsi="Calibri" w:cs="Calibri"/>
        </w:rPr>
        <w:t xml:space="preserve"> with the biggest impact. </w:t>
      </w:r>
    </w:p>
    <w:p w14:paraId="0000011A" w14:textId="77777777" w:rsidR="00254ABF" w:rsidRPr="005D2E4B" w:rsidRDefault="000F141A">
      <w:pPr>
        <w:spacing w:before="240" w:line="480" w:lineRule="auto"/>
        <w:rPr>
          <w:rFonts w:ascii="Calibri" w:eastAsia="Times New Roman" w:hAnsi="Calibri" w:cs="Calibri"/>
        </w:rPr>
      </w:pPr>
      <w:r w:rsidRPr="005D2E4B">
        <w:rPr>
          <w:rFonts w:ascii="Calibri" w:eastAsia="Times New Roman" w:hAnsi="Calibri" w:cs="Calibri"/>
          <w:noProof/>
        </w:rPr>
        <w:drawing>
          <wp:inline distT="114300" distB="114300" distL="114300" distR="114300" wp14:anchorId="1A823E04" wp14:editId="07777777">
            <wp:extent cx="3302000" cy="292100"/>
            <wp:effectExtent l="0" t="0" r="0" b="0"/>
            <wp:docPr id="3" name="image1.png" descr="Figure 1: Bachelor’s Degrees Conferred FY 14-18"/>
            <wp:cNvGraphicFramePr/>
            <a:graphic xmlns:a="http://schemas.openxmlformats.org/drawingml/2006/main">
              <a:graphicData uri="http://schemas.openxmlformats.org/drawingml/2006/picture">
                <pic:pic xmlns:pic="http://schemas.openxmlformats.org/drawingml/2006/picture">
                  <pic:nvPicPr>
                    <pic:cNvPr id="0" name="image1.png" descr="Figure 1: Bachelor’s Degrees Conferred FY 14-18"/>
                    <pic:cNvPicPr preferRelativeResize="0"/>
                  </pic:nvPicPr>
                  <pic:blipFill>
                    <a:blip r:embed="rId13"/>
                    <a:srcRect/>
                    <a:stretch>
                      <a:fillRect/>
                    </a:stretch>
                  </pic:blipFill>
                  <pic:spPr>
                    <a:xfrm>
                      <a:off x="0" y="0"/>
                      <a:ext cx="3302000" cy="292100"/>
                    </a:xfrm>
                    <a:prstGeom prst="rect">
                      <a:avLst/>
                    </a:prstGeom>
                    <a:ln/>
                  </pic:spPr>
                </pic:pic>
              </a:graphicData>
            </a:graphic>
          </wp:inline>
        </w:drawing>
      </w:r>
      <w:r w:rsidRPr="005D2E4B">
        <w:rPr>
          <w:rFonts w:ascii="Calibri" w:eastAsia="Times New Roman" w:hAnsi="Calibri" w:cs="Calibri"/>
          <w:noProof/>
        </w:rPr>
        <w:drawing>
          <wp:inline distT="114300" distB="114300" distL="114300" distR="114300" wp14:anchorId="4A1B4088" wp14:editId="07777777">
            <wp:extent cx="3314700" cy="2298700"/>
            <wp:effectExtent l="0" t="0" r="0" b="0"/>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4"/>
                    <a:srcRect/>
                    <a:stretch>
                      <a:fillRect/>
                    </a:stretch>
                  </pic:blipFill>
                  <pic:spPr>
                    <a:xfrm>
                      <a:off x="0" y="0"/>
                      <a:ext cx="3314700" cy="2298700"/>
                    </a:xfrm>
                    <a:prstGeom prst="rect">
                      <a:avLst/>
                    </a:prstGeom>
                    <a:ln/>
                  </pic:spPr>
                </pic:pic>
              </a:graphicData>
            </a:graphic>
          </wp:inline>
        </w:drawing>
      </w:r>
    </w:p>
    <w:p w14:paraId="0000011B" w14:textId="77777777" w:rsidR="00254ABF" w:rsidRPr="005D2E4B" w:rsidRDefault="000F141A">
      <w:pPr>
        <w:spacing w:before="240" w:line="480" w:lineRule="auto"/>
        <w:ind w:firstLine="720"/>
        <w:rPr>
          <w:rFonts w:ascii="Calibri" w:eastAsia="Times New Roman" w:hAnsi="Calibri" w:cs="Calibri"/>
        </w:rPr>
      </w:pPr>
      <w:r w:rsidRPr="005D2E4B">
        <w:rPr>
          <w:rFonts w:ascii="Calibri" w:eastAsia="Times New Roman" w:hAnsi="Calibri" w:cs="Calibri"/>
          <w:b/>
        </w:rPr>
        <w:t>Over the past five years, ABAC has nearly tripled the number of bachelor’s degrees conferred.</w:t>
      </w:r>
      <w:r w:rsidRPr="005D2E4B">
        <w:rPr>
          <w:rFonts w:ascii="Calibri" w:eastAsia="Times New Roman" w:hAnsi="Calibri" w:cs="Calibri"/>
        </w:rPr>
        <w:t xml:space="preserve"> This is the largest area of growth for the College, as shown in Figure 1. ABAC began offering junior and </w:t>
      </w:r>
      <w:r w:rsidRPr="005D2E4B">
        <w:rPr>
          <w:rFonts w:ascii="Calibri" w:eastAsia="Times New Roman" w:hAnsi="Calibri" w:cs="Calibri"/>
        </w:rPr>
        <w:lastRenderedPageBreak/>
        <w:t>senior level classes to 41 students enrolled in the new bachelor’s degree programs in 2008. When the Fall 2018 term began, over 2,000 students were enrolled in the 12 bachelor’s degree programs. The transition from an associate degree granting institution for 75 years to a bachelor’s degree institution over the past decade has been extraordinary and has greatly impacted the type of academic and student support services needed.</w:t>
      </w:r>
    </w:p>
    <w:p w14:paraId="0000011C" w14:textId="77777777" w:rsidR="00254ABF" w:rsidRPr="009F7C4D" w:rsidRDefault="000F141A">
      <w:pPr>
        <w:spacing w:before="240" w:after="240" w:line="480" w:lineRule="auto"/>
        <w:ind w:firstLine="720"/>
        <w:rPr>
          <w:rFonts w:ascii="Calibri Light" w:eastAsia="Times New Roman" w:hAnsi="Calibri Light" w:cs="Calibri Light"/>
          <w:sz w:val="26"/>
          <w:szCs w:val="26"/>
        </w:rPr>
      </w:pPr>
      <w:r w:rsidRPr="009F7C4D">
        <w:rPr>
          <w:rFonts w:ascii="Calibri Light" w:eastAsia="Times New Roman" w:hAnsi="Calibri Light" w:cs="Calibri Light"/>
          <w:sz w:val="26"/>
          <w:szCs w:val="26"/>
        </w:rPr>
        <w:t xml:space="preserve">Social Science  </w:t>
      </w:r>
    </w:p>
    <w:p w14:paraId="0000011D" w14:textId="77777777" w:rsidR="00254ABF" w:rsidRPr="009F7C4D" w:rsidRDefault="000F141A">
      <w:pPr>
        <w:spacing w:before="240" w:after="240" w:line="480" w:lineRule="auto"/>
        <w:rPr>
          <w:rFonts w:ascii="Calibri" w:eastAsia="Times New Roman" w:hAnsi="Calibri" w:cs="Calibri"/>
        </w:rPr>
      </w:pPr>
      <w:r>
        <w:tab/>
      </w:r>
      <w:r w:rsidRPr="009F7C4D">
        <w:rPr>
          <w:rFonts w:ascii="Calibri" w:eastAsia="Times New Roman" w:hAnsi="Calibri" w:cs="Calibri"/>
        </w:rPr>
        <w:t xml:space="preserve">Social Science is a broad area that covers subjects such as psychology, history, and anthropology. Many of the courses for these programs have major writing requirements. This allows for faculty to evaluate how students find information, compare and evaluate information, and the student’s ability to organize, apply, and communicate information within the context of the course. The ACRL has made a sandbox that addresses some of these specific disciplines. </w:t>
      </w:r>
    </w:p>
    <w:p w14:paraId="0000011E" w14:textId="77777777" w:rsidR="00254ABF" w:rsidRPr="009F7C4D" w:rsidRDefault="000F141A">
      <w:pPr>
        <w:spacing w:before="240" w:after="240" w:line="480" w:lineRule="auto"/>
        <w:rPr>
          <w:rFonts w:ascii="Calibri" w:eastAsia="Times New Roman" w:hAnsi="Calibri" w:cs="Calibri"/>
        </w:rPr>
      </w:pPr>
      <w:r w:rsidRPr="009F7C4D">
        <w:rPr>
          <w:rFonts w:ascii="Calibri" w:eastAsia="Times New Roman" w:hAnsi="Calibri" w:cs="Calibri"/>
        </w:rPr>
        <w:tab/>
        <w:t xml:space="preserve">An example would be standards for the psychology discipline. The ACRL’s (2010) four information literacy competency standards for psychology are as follows: </w:t>
      </w:r>
      <w:r w:rsidRPr="009F7C4D">
        <w:rPr>
          <w:rFonts w:ascii="Calibri" w:eastAsia="Times New Roman" w:hAnsi="Calibri" w:cs="Calibri"/>
        </w:rPr>
        <w:tab/>
      </w:r>
      <w:r w:rsidRPr="009F7C4D">
        <w:rPr>
          <w:rFonts w:ascii="Calibri" w:eastAsia="Times New Roman" w:hAnsi="Calibri" w:cs="Calibri"/>
        </w:rPr>
        <w:tab/>
      </w:r>
      <w:r w:rsidRPr="009F7C4D">
        <w:rPr>
          <w:rFonts w:ascii="Calibri" w:eastAsia="Times New Roman" w:hAnsi="Calibri" w:cs="Calibri"/>
        </w:rPr>
        <w:tab/>
      </w:r>
      <w:r w:rsidRPr="009F7C4D">
        <w:rPr>
          <w:rFonts w:ascii="Calibri" w:eastAsia="Times New Roman" w:hAnsi="Calibri" w:cs="Calibri"/>
        </w:rPr>
        <w:tab/>
      </w:r>
    </w:p>
    <w:p w14:paraId="0000011F" w14:textId="77777777" w:rsidR="00254ABF" w:rsidRPr="009F7C4D" w:rsidRDefault="000F141A">
      <w:pPr>
        <w:numPr>
          <w:ilvl w:val="0"/>
          <w:numId w:val="1"/>
        </w:numPr>
        <w:spacing w:before="240" w:line="480" w:lineRule="auto"/>
        <w:rPr>
          <w:rFonts w:ascii="Calibri" w:eastAsia="Times New Roman" w:hAnsi="Calibri" w:cs="Calibri"/>
        </w:rPr>
      </w:pPr>
      <w:r w:rsidRPr="009F7C4D">
        <w:rPr>
          <w:rFonts w:ascii="Calibri" w:eastAsia="Times New Roman" w:hAnsi="Calibri" w:cs="Calibri"/>
        </w:rPr>
        <w:t xml:space="preserve">determines the nature and extent of the information needed. </w:t>
      </w:r>
      <w:r w:rsidRPr="009F7C4D">
        <w:rPr>
          <w:rFonts w:ascii="Calibri" w:eastAsia="Times New Roman" w:hAnsi="Calibri" w:cs="Calibri"/>
        </w:rPr>
        <w:tab/>
      </w:r>
      <w:r w:rsidRPr="009F7C4D">
        <w:rPr>
          <w:rFonts w:ascii="Calibri" w:eastAsia="Times New Roman" w:hAnsi="Calibri" w:cs="Calibri"/>
        </w:rPr>
        <w:tab/>
      </w:r>
      <w:r w:rsidRPr="009F7C4D">
        <w:rPr>
          <w:rFonts w:ascii="Calibri" w:eastAsia="Times New Roman" w:hAnsi="Calibri" w:cs="Calibri"/>
        </w:rPr>
        <w:tab/>
      </w:r>
    </w:p>
    <w:p w14:paraId="00000120" w14:textId="77777777" w:rsidR="00254ABF" w:rsidRPr="009F7C4D" w:rsidRDefault="000F141A">
      <w:pPr>
        <w:numPr>
          <w:ilvl w:val="0"/>
          <w:numId w:val="1"/>
        </w:numPr>
        <w:spacing w:line="480" w:lineRule="auto"/>
        <w:rPr>
          <w:rFonts w:ascii="Calibri" w:eastAsia="Times New Roman" w:hAnsi="Calibri" w:cs="Calibri"/>
        </w:rPr>
      </w:pPr>
      <w:r w:rsidRPr="009F7C4D">
        <w:rPr>
          <w:rFonts w:ascii="Calibri" w:eastAsia="Times New Roman" w:hAnsi="Calibri" w:cs="Calibri"/>
        </w:rPr>
        <w:t xml:space="preserve">accesses needed information effectively and efficiently. </w:t>
      </w:r>
    </w:p>
    <w:p w14:paraId="00000121" w14:textId="77777777" w:rsidR="00254ABF" w:rsidRPr="009F7C4D" w:rsidRDefault="000F141A">
      <w:pPr>
        <w:numPr>
          <w:ilvl w:val="0"/>
          <w:numId w:val="1"/>
        </w:numPr>
        <w:spacing w:line="480" w:lineRule="auto"/>
        <w:rPr>
          <w:rFonts w:ascii="Calibri" w:eastAsia="Times New Roman" w:hAnsi="Calibri" w:cs="Calibri"/>
        </w:rPr>
      </w:pPr>
      <w:r w:rsidRPr="009F7C4D">
        <w:rPr>
          <w:rFonts w:ascii="Calibri" w:eastAsia="Times New Roman" w:hAnsi="Calibri" w:cs="Calibri"/>
        </w:rPr>
        <w:t>evaluates information and its sources critically and combines the selected information into a knowledge base.</w:t>
      </w:r>
    </w:p>
    <w:p w14:paraId="00000122" w14:textId="77777777" w:rsidR="00254ABF" w:rsidRPr="009F7C4D" w:rsidRDefault="000F141A">
      <w:pPr>
        <w:numPr>
          <w:ilvl w:val="0"/>
          <w:numId w:val="1"/>
        </w:numPr>
        <w:spacing w:after="240" w:line="480" w:lineRule="auto"/>
        <w:rPr>
          <w:rFonts w:ascii="Calibri" w:eastAsia="Times New Roman" w:hAnsi="Calibri" w:cs="Calibri"/>
        </w:rPr>
      </w:pPr>
      <w:r w:rsidRPr="009F7C4D">
        <w:rPr>
          <w:rFonts w:ascii="Calibri" w:eastAsia="Times New Roman" w:hAnsi="Calibri" w:cs="Calibri"/>
        </w:rPr>
        <w:t xml:space="preserve">uses information effectively to accomplish a specific purpose (Stanger, 2012).  </w:t>
      </w:r>
    </w:p>
    <w:p w14:paraId="00000123" w14:textId="77777777" w:rsidR="00254ABF" w:rsidRPr="009F7C4D" w:rsidRDefault="000F141A">
      <w:pPr>
        <w:spacing w:before="240" w:after="240" w:line="480" w:lineRule="auto"/>
        <w:rPr>
          <w:rFonts w:ascii="Calibri" w:eastAsia="Times New Roman" w:hAnsi="Calibri" w:cs="Calibri"/>
        </w:rPr>
      </w:pPr>
      <w:r w:rsidRPr="009F7C4D">
        <w:rPr>
          <w:rFonts w:ascii="Calibri" w:eastAsia="Times New Roman" w:hAnsi="Calibri" w:cs="Calibri"/>
        </w:rPr>
        <w:t xml:space="preserve">Most information literacy standards for social science do not deviate far from these standards. Faculty are now tasked with finding ways to incorporate these elements into the curriculum. </w:t>
      </w:r>
      <w:r w:rsidRPr="009F7C4D">
        <w:rPr>
          <w:rFonts w:ascii="Calibri" w:eastAsia="Times New Roman" w:hAnsi="Calibri" w:cs="Calibri"/>
        </w:rPr>
        <w:tab/>
      </w:r>
    </w:p>
    <w:p w14:paraId="00000124" w14:textId="6E00249A" w:rsidR="00254ABF" w:rsidRPr="009F7C4D" w:rsidRDefault="000F141A">
      <w:pPr>
        <w:spacing w:before="240" w:after="240" w:line="480" w:lineRule="auto"/>
        <w:rPr>
          <w:rFonts w:ascii="Calibri" w:eastAsia="Times New Roman" w:hAnsi="Calibri" w:cs="Calibri"/>
        </w:rPr>
      </w:pPr>
      <w:r w:rsidRPr="009F7C4D">
        <w:rPr>
          <w:rFonts w:ascii="Calibri" w:eastAsia="Times New Roman" w:hAnsi="Calibri" w:cs="Calibri"/>
        </w:rPr>
        <w:lastRenderedPageBreak/>
        <w:tab/>
        <w:t xml:space="preserve">Ultimately, </w:t>
      </w:r>
      <w:r w:rsidRPr="009F7C4D">
        <w:rPr>
          <w:rFonts w:ascii="Calibri" w:eastAsia="Times New Roman" w:hAnsi="Calibri" w:cs="Calibri"/>
          <w:i/>
        </w:rPr>
        <w:t>Research as Inquiry</w:t>
      </w:r>
      <w:r w:rsidRPr="009F7C4D">
        <w:rPr>
          <w:rFonts w:ascii="Calibri" w:eastAsia="Times New Roman" w:hAnsi="Calibri" w:cs="Calibri"/>
        </w:rPr>
        <w:t xml:space="preserve"> provides learning experiences around information literacy that allows for seeking and reflecting on multiple </w:t>
      </w:r>
      <w:r w:rsidR="009F7C4D" w:rsidRPr="009F7C4D">
        <w:rPr>
          <w:rFonts w:ascii="Calibri" w:eastAsia="Times New Roman" w:hAnsi="Calibri" w:cs="Calibri"/>
        </w:rPr>
        <w:t>perspectives</w:t>
      </w:r>
      <w:r w:rsidRPr="009F7C4D">
        <w:rPr>
          <w:rFonts w:ascii="Calibri" w:eastAsia="Times New Roman" w:hAnsi="Calibri" w:cs="Calibri"/>
        </w:rPr>
        <w:t xml:space="preserve"> during the information-gathering process (</w:t>
      </w:r>
      <w:proofErr w:type="spellStart"/>
      <w:r w:rsidRPr="009F7C4D">
        <w:rPr>
          <w:rFonts w:ascii="Calibri" w:eastAsia="Times New Roman" w:hAnsi="Calibri" w:cs="Calibri"/>
        </w:rPr>
        <w:t>Godbey</w:t>
      </w:r>
      <w:proofErr w:type="spellEnd"/>
      <w:r w:rsidRPr="009F7C4D">
        <w:rPr>
          <w:rFonts w:ascii="Calibri" w:eastAsia="Times New Roman" w:hAnsi="Calibri" w:cs="Calibri"/>
        </w:rPr>
        <w:t xml:space="preserve">, </w:t>
      </w:r>
      <w:proofErr w:type="spellStart"/>
      <w:r w:rsidRPr="009F7C4D">
        <w:rPr>
          <w:rFonts w:ascii="Calibri" w:eastAsia="Times New Roman" w:hAnsi="Calibri" w:cs="Calibri"/>
        </w:rPr>
        <w:t>Wainscott</w:t>
      </w:r>
      <w:proofErr w:type="spellEnd"/>
      <w:r w:rsidRPr="009F7C4D">
        <w:rPr>
          <w:rFonts w:ascii="Calibri" w:eastAsia="Times New Roman" w:hAnsi="Calibri" w:cs="Calibri"/>
        </w:rPr>
        <w:t xml:space="preserve">, &amp; Goodman, 2017). This provides a useful tool for developing and strengthening collaborative work between the faculty and librarians focused on the process of exploring and engaging with critical information. A foundation component for this frame is the value of intellectual curiosity and problem-posing environments.   </w:t>
      </w:r>
    </w:p>
    <w:p w14:paraId="00000125" w14:textId="77777777" w:rsidR="00254ABF" w:rsidRPr="009F7C4D" w:rsidRDefault="000F141A">
      <w:pPr>
        <w:spacing w:before="240" w:after="240" w:line="480" w:lineRule="auto"/>
        <w:ind w:firstLine="720"/>
        <w:rPr>
          <w:rFonts w:ascii="Calibri Light" w:eastAsia="Times New Roman" w:hAnsi="Calibri Light" w:cs="Calibri Light"/>
          <w:sz w:val="26"/>
          <w:szCs w:val="26"/>
        </w:rPr>
      </w:pPr>
      <w:r w:rsidRPr="009F7C4D">
        <w:rPr>
          <w:rFonts w:ascii="Calibri Light" w:eastAsia="Times New Roman" w:hAnsi="Calibri Light" w:cs="Calibri Light"/>
          <w:sz w:val="26"/>
          <w:szCs w:val="26"/>
        </w:rPr>
        <w:t xml:space="preserve">STEM  </w:t>
      </w:r>
    </w:p>
    <w:p w14:paraId="00000126" w14:textId="5B16091A"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 xml:space="preserve">Most of the following chapters will focus on a </w:t>
      </w:r>
      <w:r w:rsidR="009F7C4D" w:rsidRPr="009F7C4D">
        <w:rPr>
          <w:rFonts w:ascii="Calibri" w:eastAsia="Times New Roman" w:hAnsi="Calibri" w:cs="Calibri"/>
        </w:rPr>
        <w:t>science-based</w:t>
      </w:r>
      <w:r w:rsidRPr="009F7C4D">
        <w:rPr>
          <w:rFonts w:ascii="Calibri" w:eastAsia="Times New Roman" w:hAnsi="Calibri" w:cs="Calibri"/>
        </w:rPr>
        <w:t xml:space="preserve"> discipline. While science-based disciplines differ greatly, they still follow some of the same patterns for information literacy discovery and fluency. Information literacy implementation in </w:t>
      </w:r>
      <w:r w:rsidR="009F7C4D" w:rsidRPr="009F7C4D">
        <w:rPr>
          <w:rFonts w:ascii="Calibri" w:eastAsia="Times New Roman" w:hAnsi="Calibri" w:cs="Calibri"/>
        </w:rPr>
        <w:t>the sciences</w:t>
      </w:r>
      <w:r w:rsidRPr="009F7C4D">
        <w:rPr>
          <w:rFonts w:ascii="Calibri" w:eastAsia="Times New Roman" w:hAnsi="Calibri" w:cs="Calibri"/>
        </w:rPr>
        <w:t xml:space="preserve"> has uneven at best. Even in a single college, many times standards for information literacy within the curriculum can be very different in nature, quality, and format. Many </w:t>
      </w:r>
      <w:r w:rsidR="009F7C4D" w:rsidRPr="009F7C4D">
        <w:rPr>
          <w:rFonts w:ascii="Calibri" w:eastAsia="Times New Roman" w:hAnsi="Calibri" w:cs="Calibri"/>
        </w:rPr>
        <w:t>times,</w:t>
      </w:r>
      <w:r w:rsidRPr="009F7C4D">
        <w:rPr>
          <w:rFonts w:ascii="Calibri" w:eastAsia="Times New Roman" w:hAnsi="Calibri" w:cs="Calibri"/>
        </w:rPr>
        <w:t xml:space="preserve"> faculty will assign activities to force students to learn different information literacy skills in order to be completed. The following chapters will address chemistry, biology, and land management areas of information literacy implementation in the curriculum. </w:t>
      </w:r>
    </w:p>
    <w:p w14:paraId="00000127"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The ACRL Task Force on Information Literacy for Science and Technology established specific standards for information literacy within the context of science research that included information retrieval and recursive dynamic process for scientific discovery. The focus on the search process can help students learn and revise as they review search results. According to ACRL (2006) information literacy in relation to science, engineering, and technology is defined as “a set of abilities to identify the need for information, procure the information, evaluate the information and subsequently revise the strategy for obtaining the information, to use the information and to use it in an ethical and legal manner, and to engage in lifelong learning” (</w:t>
      </w:r>
      <w:proofErr w:type="spellStart"/>
      <w:r w:rsidRPr="009F7C4D">
        <w:rPr>
          <w:rFonts w:ascii="Calibri" w:eastAsia="Times New Roman" w:hAnsi="Calibri" w:cs="Calibri"/>
        </w:rPr>
        <w:t>Currano</w:t>
      </w:r>
      <w:proofErr w:type="spellEnd"/>
      <w:r w:rsidRPr="009F7C4D">
        <w:rPr>
          <w:rFonts w:ascii="Calibri" w:eastAsia="Times New Roman" w:hAnsi="Calibri" w:cs="Calibri"/>
        </w:rPr>
        <w:t xml:space="preserve">, 2016, p. 4). This definition is important to keep in mind as the Information Literacy Frames are addressed in any curriculum.  </w:t>
      </w:r>
      <w:r w:rsidRPr="009F7C4D">
        <w:rPr>
          <w:rFonts w:ascii="Calibri" w:hAnsi="Calibri" w:cs="Calibri"/>
        </w:rPr>
        <w:tab/>
      </w:r>
    </w:p>
    <w:p w14:paraId="00000128"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lastRenderedPageBreak/>
        <w:t>Historically, many larger colleges and universities have had little difficulty fulfilling library resources for the American Chemical Society (ACS) course requirements. Large university libraries have extensive collection development budgets, and “librarians trained in chemistry or a related science, who are accustomed to teaching students the complexities of chemical information with its multitude of entry points” (</w:t>
      </w:r>
      <w:proofErr w:type="spellStart"/>
      <w:r w:rsidRPr="009F7C4D">
        <w:rPr>
          <w:rFonts w:ascii="Calibri" w:eastAsia="Times New Roman" w:hAnsi="Calibri" w:cs="Calibri"/>
        </w:rPr>
        <w:t>Currano</w:t>
      </w:r>
      <w:proofErr w:type="spellEnd"/>
      <w:r w:rsidRPr="009F7C4D">
        <w:rPr>
          <w:rFonts w:ascii="Calibri" w:eastAsia="Times New Roman" w:hAnsi="Calibri" w:cs="Calibri"/>
        </w:rPr>
        <w:t>, 2016, p. 9). Smaller teaching colleges usually can hire one or two librarians that support multiple science related departments (</w:t>
      </w:r>
      <w:proofErr w:type="spellStart"/>
      <w:r w:rsidRPr="009F7C4D">
        <w:rPr>
          <w:rFonts w:ascii="Calibri" w:eastAsia="Times New Roman" w:hAnsi="Calibri" w:cs="Calibri"/>
        </w:rPr>
        <w:t>Currano</w:t>
      </w:r>
      <w:proofErr w:type="spellEnd"/>
      <w:r w:rsidRPr="009F7C4D">
        <w:rPr>
          <w:rFonts w:ascii="Calibri" w:eastAsia="Times New Roman" w:hAnsi="Calibri" w:cs="Calibri"/>
        </w:rPr>
        <w:t xml:space="preserve">, 2016). The ACS has put forth a great deal of effort in disseminating information </w:t>
      </w:r>
      <w:proofErr w:type="gramStart"/>
      <w:r w:rsidRPr="009F7C4D">
        <w:rPr>
          <w:rFonts w:ascii="Calibri" w:eastAsia="Times New Roman" w:hAnsi="Calibri" w:cs="Calibri"/>
        </w:rPr>
        <w:t>on the subject of information</w:t>
      </w:r>
      <w:proofErr w:type="gramEnd"/>
      <w:r w:rsidRPr="009F7C4D">
        <w:rPr>
          <w:rFonts w:ascii="Calibri" w:eastAsia="Times New Roman" w:hAnsi="Calibri" w:cs="Calibri"/>
        </w:rPr>
        <w:t xml:space="preserve"> literacy in chemistry. There is probably no other science discipline that has more books and articles available for faculty and librarians to draw from. </w:t>
      </w:r>
    </w:p>
    <w:p w14:paraId="00000129"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A key component for chemistry students is learning how to find and review chemical literature. It is also how chemistry students learn about information literacy. Chemical information literacy is a searchable word found in publications. Information literacy is an interconnected topic that demonstrates an individual’s understanding of how knowledge is used within a community of practice. Undergraduate students in STEM disciplines are offered the opportunity to participate in creating discipline specific knowledge. This creates an atmosphere where they have more responsibility to understand the contour and dynamic changing environment of information by using data and scholarship. In return, more emphasis is placed on teaching faculty to design a curriculum that fosters “engagement with core ideas about information and scholarship within their discipline” (</w:t>
      </w:r>
      <w:proofErr w:type="spellStart"/>
      <w:r w:rsidRPr="009F7C4D">
        <w:rPr>
          <w:rFonts w:ascii="Calibri" w:eastAsia="Times New Roman" w:hAnsi="Calibri" w:cs="Calibri"/>
        </w:rPr>
        <w:t>Currano</w:t>
      </w:r>
      <w:proofErr w:type="spellEnd"/>
      <w:r w:rsidRPr="009F7C4D">
        <w:rPr>
          <w:rFonts w:ascii="Calibri" w:eastAsia="Times New Roman" w:hAnsi="Calibri" w:cs="Calibri"/>
        </w:rPr>
        <w:t xml:space="preserve">, 2016, p. 14). Librarians’ role in support of this should come from their own knowledge domains, but in many cases, librarians from social science must find creative ways to enhance a cohesive curriculum and collaborate with faculty who speak a very different language. </w:t>
      </w:r>
    </w:p>
    <w:p w14:paraId="0000012A"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 xml:space="preserve">Undergraduate biology majors have a unique opportunity to learn information literacy through scientific writing. These two skills help support them through upper-division and graduate school. </w:t>
      </w:r>
      <w:r w:rsidRPr="009F7C4D">
        <w:rPr>
          <w:rFonts w:ascii="Calibri" w:eastAsia="Times New Roman" w:hAnsi="Calibri" w:cs="Calibri"/>
        </w:rPr>
        <w:lastRenderedPageBreak/>
        <w:t xml:space="preserve">Students should be able to synthesize scientific literature found in publications. Demonstrating how to utilize discipline specific information for the purpose of conducting research is essential not just for undergraduate biology majors but for all science-based disciplines. The opportunity for writing in science-based courses extends beyond research into labs, where reporting is an essential skill for all students in STEM. </w:t>
      </w:r>
    </w:p>
    <w:p w14:paraId="0000012B"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 xml:space="preserve">Land Management as a field is very similar to Forestry and Wildlife Management. While this area of study is rooted in research, there is a lack of literature on this and other similar disciplines when it comes to information literacy. Due to the type of writing and research in this field of study, the focus is more on case studies, but the community of practice lends itself to research even at the undergraduate level. It is important to note that research papers are critical for all undergraduates due to the reporting nature of the profession. Many state and private organizations rely heavily on this skill to further knowledge and demonstrate areas of need. </w:t>
      </w:r>
    </w:p>
    <w:p w14:paraId="0000012C" w14:textId="77777777" w:rsidR="00254ABF" w:rsidRPr="009F7C4D" w:rsidRDefault="000F141A">
      <w:pPr>
        <w:spacing w:before="240" w:after="240" w:line="480" w:lineRule="auto"/>
        <w:rPr>
          <w:rFonts w:ascii="Calibri Light" w:eastAsia="Times New Roman" w:hAnsi="Calibri Light" w:cs="Calibri Light"/>
          <w:sz w:val="26"/>
          <w:szCs w:val="26"/>
        </w:rPr>
      </w:pPr>
      <w:r w:rsidRPr="009F7C4D">
        <w:rPr>
          <w:rFonts w:ascii="Calibri Light" w:eastAsia="Times New Roman" w:hAnsi="Calibri Light" w:cs="Calibri Light"/>
          <w:sz w:val="26"/>
          <w:szCs w:val="26"/>
        </w:rPr>
        <w:t>Conclusion</w:t>
      </w:r>
    </w:p>
    <w:p w14:paraId="0000012D" w14:textId="77777777" w:rsidR="00254ABF" w:rsidRPr="009F7C4D" w:rsidRDefault="000F141A">
      <w:pPr>
        <w:spacing w:before="240" w:after="240" w:line="480" w:lineRule="auto"/>
        <w:rPr>
          <w:rFonts w:ascii="Calibri" w:eastAsia="Times New Roman" w:hAnsi="Calibri" w:cs="Calibri"/>
        </w:rPr>
      </w:pPr>
      <w:r>
        <w:rPr>
          <w:rFonts w:ascii="Times New Roman" w:eastAsia="Times New Roman" w:hAnsi="Times New Roman" w:cs="Times New Roman"/>
          <w:b/>
        </w:rPr>
        <w:tab/>
      </w:r>
      <w:r w:rsidRPr="009F7C4D">
        <w:rPr>
          <w:rFonts w:ascii="Calibri" w:eastAsia="Times New Roman" w:hAnsi="Calibri" w:cs="Calibri"/>
        </w:rPr>
        <w:t xml:space="preserve">As colleges across Georgia and the United State prepare students for life after undergraduate studies, key skills such as information literacy will play a major role in their success. Georgia is proactively addressing the skills students need for success. Information literacy is an integral part of the University System of Georgia Resign for the General Education Curriculum. </w:t>
      </w:r>
    </w:p>
    <w:p w14:paraId="0000012E"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 xml:space="preserve">This project seeks to address information literacy in several disciplines’ curriculum. Some of these disciplines have little literature support in information literacy and have solely been addressed by faculty experts in the field, while other disciplines like chemistry have a significant amount of published material to support their field in the area of information literacy. Other disciplines will need to be the </w:t>
      </w:r>
      <w:r w:rsidRPr="009F7C4D">
        <w:rPr>
          <w:rFonts w:ascii="Calibri" w:eastAsia="Times New Roman" w:hAnsi="Calibri" w:cs="Calibri"/>
        </w:rPr>
        <w:lastRenderedPageBreak/>
        <w:t xml:space="preserve">focus of future projects as the University System of Georgia proceeds with the redesign implementation, however, this project provides a framework for moving forward. </w:t>
      </w:r>
    </w:p>
    <w:p w14:paraId="0000012F" w14:textId="77777777" w:rsidR="00254ABF" w:rsidRPr="009F7C4D" w:rsidRDefault="00254ABF">
      <w:pPr>
        <w:spacing w:before="240" w:after="240" w:line="480" w:lineRule="auto"/>
        <w:ind w:firstLine="720"/>
        <w:rPr>
          <w:rFonts w:ascii="Calibri" w:eastAsia="Times New Roman" w:hAnsi="Calibri" w:cs="Calibri"/>
        </w:rPr>
      </w:pPr>
    </w:p>
    <w:p w14:paraId="00000130" w14:textId="77777777" w:rsidR="00254ABF" w:rsidRPr="009F7C4D" w:rsidRDefault="000F141A">
      <w:pPr>
        <w:spacing w:before="240" w:after="240" w:line="480" w:lineRule="auto"/>
        <w:rPr>
          <w:rFonts w:ascii="Calibri" w:eastAsia="Times New Roman" w:hAnsi="Calibri" w:cs="Calibri"/>
        </w:rPr>
      </w:pPr>
      <w:r w:rsidRPr="009F7C4D">
        <w:rPr>
          <w:rFonts w:ascii="Calibri" w:hAnsi="Calibri" w:cs="Calibri"/>
        </w:rPr>
        <w:tab/>
      </w:r>
      <w:r w:rsidRPr="009F7C4D">
        <w:rPr>
          <w:rFonts w:ascii="Calibri" w:hAnsi="Calibri" w:cs="Calibri"/>
        </w:rPr>
        <w:tab/>
      </w:r>
      <w:r w:rsidRPr="009F7C4D">
        <w:rPr>
          <w:rFonts w:ascii="Calibri" w:hAnsi="Calibri" w:cs="Calibri"/>
        </w:rPr>
        <w:tab/>
      </w:r>
      <w:r w:rsidRPr="009F7C4D">
        <w:rPr>
          <w:rFonts w:ascii="Calibri" w:hAnsi="Calibri" w:cs="Calibri"/>
        </w:rPr>
        <w:tab/>
      </w:r>
      <w:r w:rsidRPr="009F7C4D">
        <w:rPr>
          <w:rFonts w:ascii="Calibri" w:eastAsia="Times New Roman" w:hAnsi="Calibri" w:cs="Calibri"/>
        </w:rPr>
        <w:t xml:space="preserve"> </w:t>
      </w:r>
    </w:p>
    <w:p w14:paraId="00000131" w14:textId="77777777" w:rsidR="00254ABF" w:rsidRPr="009F7C4D" w:rsidRDefault="00254ABF">
      <w:pPr>
        <w:spacing w:line="480" w:lineRule="auto"/>
        <w:rPr>
          <w:rFonts w:ascii="Calibri" w:hAnsi="Calibri" w:cs="Calibri"/>
        </w:rPr>
      </w:pPr>
    </w:p>
    <w:p w14:paraId="00000132" w14:textId="77777777" w:rsidR="00254ABF" w:rsidRPr="009F7C4D" w:rsidRDefault="00254ABF">
      <w:pPr>
        <w:spacing w:line="480" w:lineRule="auto"/>
        <w:rPr>
          <w:rFonts w:ascii="Calibri" w:hAnsi="Calibri" w:cs="Calibri"/>
        </w:rPr>
      </w:pPr>
    </w:p>
    <w:p w14:paraId="00000133" w14:textId="77777777" w:rsidR="00254ABF" w:rsidRPr="009F7C4D" w:rsidRDefault="00254ABF">
      <w:pPr>
        <w:spacing w:line="480" w:lineRule="auto"/>
        <w:rPr>
          <w:rFonts w:ascii="Calibri" w:hAnsi="Calibri" w:cs="Calibri"/>
        </w:rPr>
      </w:pPr>
    </w:p>
    <w:p w14:paraId="00000134" w14:textId="77777777" w:rsidR="00254ABF" w:rsidRPr="009F7C4D" w:rsidRDefault="00254ABF">
      <w:pPr>
        <w:spacing w:line="480" w:lineRule="auto"/>
        <w:rPr>
          <w:rFonts w:ascii="Calibri" w:hAnsi="Calibri" w:cs="Calibri"/>
        </w:rPr>
      </w:pPr>
    </w:p>
    <w:p w14:paraId="00000135" w14:textId="5728AA5C" w:rsidR="00254ABF" w:rsidRDefault="00254ABF">
      <w:pPr>
        <w:spacing w:line="480" w:lineRule="auto"/>
        <w:rPr>
          <w:rFonts w:ascii="Calibri" w:hAnsi="Calibri" w:cs="Calibri"/>
        </w:rPr>
      </w:pPr>
    </w:p>
    <w:p w14:paraId="4E1C6316" w14:textId="321230C3" w:rsidR="009F7C4D" w:rsidRDefault="009F7C4D">
      <w:pPr>
        <w:spacing w:line="480" w:lineRule="auto"/>
        <w:rPr>
          <w:rFonts w:ascii="Calibri" w:hAnsi="Calibri" w:cs="Calibri"/>
        </w:rPr>
      </w:pPr>
    </w:p>
    <w:p w14:paraId="7EE586A6" w14:textId="466B7807" w:rsidR="009F7C4D" w:rsidRDefault="009F7C4D">
      <w:pPr>
        <w:spacing w:line="480" w:lineRule="auto"/>
        <w:rPr>
          <w:rFonts w:ascii="Calibri" w:hAnsi="Calibri" w:cs="Calibri"/>
        </w:rPr>
      </w:pPr>
    </w:p>
    <w:p w14:paraId="23E889C6" w14:textId="2AFA339E" w:rsidR="009F7C4D" w:rsidRDefault="009F7C4D">
      <w:pPr>
        <w:spacing w:line="480" w:lineRule="auto"/>
        <w:rPr>
          <w:rFonts w:ascii="Calibri" w:hAnsi="Calibri" w:cs="Calibri"/>
        </w:rPr>
      </w:pPr>
    </w:p>
    <w:p w14:paraId="5B9B0133" w14:textId="6489E255" w:rsidR="009F7C4D" w:rsidRDefault="009F7C4D">
      <w:pPr>
        <w:spacing w:line="480" w:lineRule="auto"/>
        <w:rPr>
          <w:rFonts w:ascii="Calibri" w:hAnsi="Calibri" w:cs="Calibri"/>
        </w:rPr>
      </w:pPr>
    </w:p>
    <w:p w14:paraId="18BCCACC" w14:textId="77777777" w:rsidR="009F7C4D" w:rsidRPr="009F7C4D" w:rsidRDefault="009F7C4D">
      <w:pPr>
        <w:spacing w:line="480" w:lineRule="auto"/>
        <w:rPr>
          <w:rFonts w:ascii="Calibri" w:hAnsi="Calibri" w:cs="Calibri"/>
        </w:rPr>
      </w:pPr>
    </w:p>
    <w:p w14:paraId="00000136" w14:textId="77777777" w:rsidR="00254ABF" w:rsidRPr="009F7C4D" w:rsidRDefault="00254ABF">
      <w:pPr>
        <w:spacing w:line="480" w:lineRule="auto"/>
        <w:rPr>
          <w:rFonts w:ascii="Calibri" w:hAnsi="Calibri" w:cs="Calibri"/>
        </w:rPr>
      </w:pPr>
    </w:p>
    <w:p w14:paraId="14D295F5" w14:textId="6DCF9A8A" w:rsidR="000F141A" w:rsidRDefault="000F141A">
      <w:pPr>
        <w:spacing w:line="480" w:lineRule="auto"/>
      </w:pPr>
    </w:p>
    <w:p w14:paraId="5068855C" w14:textId="1DBCA783" w:rsidR="000F141A" w:rsidRDefault="000F141A">
      <w:pPr>
        <w:spacing w:line="480" w:lineRule="auto"/>
      </w:pPr>
    </w:p>
    <w:p w14:paraId="6973174B" w14:textId="7F5175C1" w:rsidR="009F7C4D" w:rsidRDefault="009F7C4D">
      <w:pPr>
        <w:spacing w:line="480" w:lineRule="auto"/>
      </w:pPr>
    </w:p>
    <w:p w14:paraId="731F6153" w14:textId="15E5A2DE" w:rsidR="009F7C4D" w:rsidRDefault="009F7C4D">
      <w:pPr>
        <w:spacing w:line="480" w:lineRule="auto"/>
      </w:pPr>
    </w:p>
    <w:p w14:paraId="25A5DFEA" w14:textId="678BCF80" w:rsidR="009F7C4D" w:rsidRDefault="009F7C4D">
      <w:pPr>
        <w:spacing w:line="480" w:lineRule="auto"/>
      </w:pPr>
    </w:p>
    <w:p w14:paraId="79A443E1" w14:textId="2DCCFB89" w:rsidR="009F7C4D" w:rsidRDefault="009F7C4D">
      <w:pPr>
        <w:spacing w:line="480" w:lineRule="auto"/>
      </w:pPr>
    </w:p>
    <w:p w14:paraId="2BDA86B8" w14:textId="77777777" w:rsidR="009F7C4D" w:rsidRDefault="009F7C4D">
      <w:pPr>
        <w:spacing w:line="480" w:lineRule="auto"/>
      </w:pPr>
    </w:p>
    <w:p w14:paraId="00000140" w14:textId="77777777" w:rsidR="00254ABF" w:rsidRDefault="00254ABF">
      <w:pPr>
        <w:spacing w:line="480" w:lineRule="auto"/>
      </w:pPr>
    </w:p>
    <w:p w14:paraId="00000142" w14:textId="16891079" w:rsidR="00254ABF" w:rsidRPr="009F7C4D" w:rsidRDefault="000F141A" w:rsidP="009F7C4D">
      <w:pPr>
        <w:spacing w:line="480" w:lineRule="auto"/>
        <w:jc w:val="center"/>
        <w:rPr>
          <w:rFonts w:ascii="Calibri Light" w:eastAsia="Times New Roman" w:hAnsi="Calibri Light" w:cs="Calibri Light"/>
          <w:sz w:val="32"/>
          <w:szCs w:val="32"/>
        </w:rPr>
      </w:pPr>
      <w:r w:rsidRPr="009F7C4D">
        <w:rPr>
          <w:rFonts w:ascii="Calibri Light" w:eastAsia="Times New Roman" w:hAnsi="Calibri Light" w:cs="Calibri Light"/>
          <w:sz w:val="32"/>
          <w:szCs w:val="32"/>
        </w:rPr>
        <w:lastRenderedPageBreak/>
        <w:t>Reference</w:t>
      </w:r>
    </w:p>
    <w:p w14:paraId="00000143"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 xml:space="preserve">Gross, M., and D. Latham. 2009. Undergraduate perceptions of information literacy: defining, attaining, and self-assessing skills. Coll. Res. </w:t>
      </w:r>
      <w:proofErr w:type="spellStart"/>
      <w:r w:rsidRPr="009F7C4D">
        <w:rPr>
          <w:rFonts w:ascii="Calibri" w:eastAsia="Times New Roman" w:hAnsi="Calibri" w:cs="Calibri"/>
        </w:rPr>
        <w:t>Libr</w:t>
      </w:r>
      <w:proofErr w:type="spellEnd"/>
      <w:r w:rsidRPr="009F7C4D">
        <w:rPr>
          <w:rFonts w:ascii="Calibri" w:eastAsia="Times New Roman" w:hAnsi="Calibri" w:cs="Calibri"/>
        </w:rPr>
        <w:t>. 70:336–350.</w:t>
      </w:r>
    </w:p>
    <w:p w14:paraId="00000144"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 xml:space="preserve">Gross, M., and D. Latham. 2012. What’s skill got to do with </w:t>
      </w:r>
      <w:proofErr w:type="gramStart"/>
      <w:r w:rsidRPr="009F7C4D">
        <w:rPr>
          <w:rFonts w:ascii="Calibri" w:eastAsia="Times New Roman" w:hAnsi="Calibri" w:cs="Calibri"/>
        </w:rPr>
        <w:t>it?:</w:t>
      </w:r>
      <w:proofErr w:type="gramEnd"/>
      <w:r w:rsidRPr="009F7C4D">
        <w:rPr>
          <w:rFonts w:ascii="Calibri" w:eastAsia="Times New Roman" w:hAnsi="Calibri" w:cs="Calibri"/>
        </w:rPr>
        <w:t xml:space="preserve"> Information literacy skills and self-views of ability among first-year college students. J. Am. Soc. Inf. Sci. Technol. 63:574–583.</w:t>
      </w:r>
    </w:p>
    <w:p w14:paraId="00000145" w14:textId="77777777" w:rsidR="00254ABF" w:rsidRPr="009F7C4D" w:rsidRDefault="000F141A">
      <w:pPr>
        <w:spacing w:before="240" w:after="240" w:line="480" w:lineRule="auto"/>
        <w:ind w:firstLine="720"/>
        <w:rPr>
          <w:rFonts w:ascii="Calibri" w:eastAsia="Times New Roman" w:hAnsi="Calibri" w:cs="Calibri"/>
        </w:rPr>
      </w:pPr>
      <w:proofErr w:type="spellStart"/>
      <w:r w:rsidRPr="009F7C4D">
        <w:rPr>
          <w:rFonts w:ascii="Calibri" w:eastAsia="Times New Roman" w:hAnsi="Calibri" w:cs="Calibri"/>
        </w:rPr>
        <w:t>Godbey</w:t>
      </w:r>
      <w:proofErr w:type="spellEnd"/>
      <w:r w:rsidRPr="009F7C4D">
        <w:rPr>
          <w:rFonts w:ascii="Calibri" w:eastAsia="Times New Roman" w:hAnsi="Calibri" w:cs="Calibri"/>
        </w:rPr>
        <w:t xml:space="preserve">, S., </w:t>
      </w:r>
      <w:proofErr w:type="spellStart"/>
      <w:r w:rsidRPr="009F7C4D">
        <w:rPr>
          <w:rFonts w:ascii="Calibri" w:eastAsia="Times New Roman" w:hAnsi="Calibri" w:cs="Calibri"/>
        </w:rPr>
        <w:t>Wainscott</w:t>
      </w:r>
      <w:proofErr w:type="spellEnd"/>
      <w:r w:rsidRPr="009F7C4D">
        <w:rPr>
          <w:rFonts w:ascii="Calibri" w:eastAsia="Times New Roman" w:hAnsi="Calibri" w:cs="Calibri"/>
        </w:rPr>
        <w:t xml:space="preserve">, S. B., &amp; Goodman, X. (2017). Disciplinary applications of information literacy threshold concepts. Association of College and Research Libraries. </w:t>
      </w:r>
    </w:p>
    <w:p w14:paraId="00000146" w14:textId="77777777" w:rsidR="00254ABF" w:rsidRPr="009F7C4D" w:rsidRDefault="000F141A">
      <w:pPr>
        <w:spacing w:before="240" w:after="240" w:line="480" w:lineRule="auto"/>
        <w:ind w:firstLine="720"/>
        <w:rPr>
          <w:rFonts w:ascii="Calibri" w:eastAsia="Times New Roman" w:hAnsi="Calibri" w:cs="Calibri"/>
          <w:color w:val="222222"/>
          <w:sz w:val="24"/>
          <w:szCs w:val="24"/>
          <w:highlight w:val="white"/>
        </w:rPr>
      </w:pPr>
      <w:proofErr w:type="spellStart"/>
      <w:r w:rsidRPr="009F7C4D">
        <w:rPr>
          <w:rFonts w:ascii="Calibri" w:eastAsia="Times New Roman" w:hAnsi="Calibri" w:cs="Calibri"/>
          <w:color w:val="222222"/>
          <w:highlight w:val="white"/>
        </w:rPr>
        <w:t>Kuglitsch</w:t>
      </w:r>
      <w:proofErr w:type="spellEnd"/>
      <w:r w:rsidRPr="009F7C4D">
        <w:rPr>
          <w:rFonts w:ascii="Calibri" w:eastAsia="Times New Roman" w:hAnsi="Calibri" w:cs="Calibri"/>
          <w:color w:val="222222"/>
          <w:highlight w:val="white"/>
        </w:rPr>
        <w:t xml:space="preserve">, R. Z. (2015). Teaching for transfer: Reconciling the framework with disciplinary information literacy. </w:t>
      </w:r>
      <w:r w:rsidRPr="009F7C4D">
        <w:rPr>
          <w:rFonts w:ascii="Calibri" w:eastAsia="Times New Roman" w:hAnsi="Calibri" w:cs="Calibri"/>
          <w:i/>
          <w:color w:val="222222"/>
          <w:highlight w:val="white"/>
        </w:rPr>
        <w:t>portal: Libraries and the Academy</w:t>
      </w:r>
      <w:r w:rsidRPr="009F7C4D">
        <w:rPr>
          <w:rFonts w:ascii="Calibri" w:eastAsia="Times New Roman" w:hAnsi="Calibri" w:cs="Calibri"/>
          <w:color w:val="222222"/>
          <w:highlight w:val="white"/>
        </w:rPr>
        <w:t xml:space="preserve">, </w:t>
      </w:r>
      <w:r w:rsidRPr="009F7C4D">
        <w:rPr>
          <w:rFonts w:ascii="Calibri" w:eastAsia="Times New Roman" w:hAnsi="Calibri" w:cs="Calibri"/>
          <w:i/>
          <w:color w:val="222222"/>
          <w:highlight w:val="white"/>
        </w:rPr>
        <w:t>15</w:t>
      </w:r>
      <w:r w:rsidRPr="009F7C4D">
        <w:rPr>
          <w:rFonts w:ascii="Calibri" w:eastAsia="Times New Roman" w:hAnsi="Calibri" w:cs="Calibri"/>
          <w:color w:val="222222"/>
          <w:highlight w:val="white"/>
        </w:rPr>
        <w:t>(3), 457-470.</w:t>
      </w:r>
    </w:p>
    <w:p w14:paraId="00000147"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color w:val="222222"/>
          <w:highlight w:val="white"/>
        </w:rPr>
        <w:t xml:space="preserve">Thompson, L., &amp; </w:t>
      </w:r>
      <w:proofErr w:type="spellStart"/>
      <w:r w:rsidRPr="009F7C4D">
        <w:rPr>
          <w:rFonts w:ascii="Calibri" w:eastAsia="Times New Roman" w:hAnsi="Calibri" w:cs="Calibri"/>
          <w:color w:val="222222"/>
          <w:highlight w:val="white"/>
        </w:rPr>
        <w:t>Blankinship</w:t>
      </w:r>
      <w:proofErr w:type="spellEnd"/>
      <w:r w:rsidRPr="009F7C4D">
        <w:rPr>
          <w:rFonts w:ascii="Calibri" w:eastAsia="Times New Roman" w:hAnsi="Calibri" w:cs="Calibri"/>
          <w:color w:val="222222"/>
          <w:highlight w:val="white"/>
        </w:rPr>
        <w:t xml:space="preserve">, L. A. (2015). Teaching information literacy skills to sophomore-level biology majors. </w:t>
      </w:r>
      <w:r w:rsidRPr="009F7C4D">
        <w:rPr>
          <w:rFonts w:ascii="Calibri" w:eastAsia="Times New Roman" w:hAnsi="Calibri" w:cs="Calibri"/>
          <w:i/>
          <w:color w:val="222222"/>
          <w:highlight w:val="white"/>
        </w:rPr>
        <w:t>Journal of microbiology &amp; biology education</w:t>
      </w:r>
      <w:r w:rsidRPr="009F7C4D">
        <w:rPr>
          <w:rFonts w:ascii="Calibri" w:eastAsia="Times New Roman" w:hAnsi="Calibri" w:cs="Calibri"/>
          <w:color w:val="222222"/>
          <w:highlight w:val="white"/>
        </w:rPr>
        <w:t xml:space="preserve">, </w:t>
      </w:r>
      <w:r w:rsidRPr="009F7C4D">
        <w:rPr>
          <w:rFonts w:ascii="Calibri" w:eastAsia="Times New Roman" w:hAnsi="Calibri" w:cs="Calibri"/>
          <w:i/>
          <w:color w:val="222222"/>
          <w:highlight w:val="white"/>
        </w:rPr>
        <w:t>16</w:t>
      </w:r>
      <w:r w:rsidRPr="009F7C4D">
        <w:rPr>
          <w:rFonts w:ascii="Calibri" w:eastAsia="Times New Roman" w:hAnsi="Calibri" w:cs="Calibri"/>
          <w:color w:val="222222"/>
          <w:highlight w:val="white"/>
        </w:rPr>
        <w:t>(1), 29-33.</w:t>
      </w:r>
    </w:p>
    <w:p w14:paraId="00000148" w14:textId="77777777" w:rsidR="00254ABF" w:rsidRPr="009F7C4D" w:rsidRDefault="000F141A">
      <w:pPr>
        <w:spacing w:before="240" w:after="240" w:line="480" w:lineRule="auto"/>
        <w:ind w:firstLine="720"/>
        <w:rPr>
          <w:rFonts w:ascii="Calibri" w:eastAsia="Times New Roman" w:hAnsi="Calibri" w:cs="Calibri"/>
        </w:rPr>
      </w:pPr>
      <w:proofErr w:type="spellStart"/>
      <w:r w:rsidRPr="009F7C4D">
        <w:rPr>
          <w:rFonts w:ascii="Calibri" w:eastAsia="Times New Roman" w:hAnsi="Calibri" w:cs="Calibri"/>
        </w:rPr>
        <w:t>Wittebols</w:t>
      </w:r>
      <w:proofErr w:type="spellEnd"/>
      <w:r w:rsidRPr="009F7C4D">
        <w:rPr>
          <w:rFonts w:ascii="Calibri" w:eastAsia="Times New Roman" w:hAnsi="Calibri" w:cs="Calibri"/>
        </w:rPr>
        <w:t xml:space="preserve">, J. H. (2020). Transforming confirmation bias to generate critical consciousness in news/information literacy and social science courses. The Canadian Journal for the Scholarship of Teaching and Learning, 11(2). </w:t>
      </w:r>
      <w:hyperlink r:id="rId15">
        <w:r w:rsidRPr="009F7C4D">
          <w:rPr>
            <w:rFonts w:ascii="Calibri" w:eastAsia="Times New Roman" w:hAnsi="Calibri" w:cs="Calibri"/>
            <w:color w:val="1155CC"/>
            <w:u w:val="single"/>
          </w:rPr>
          <w:t>https://doi.org/10.5206/cjsotl-rcacea.2020.2.9472</w:t>
        </w:r>
      </w:hyperlink>
    </w:p>
    <w:p w14:paraId="00000149" w14:textId="77777777" w:rsidR="00254ABF" w:rsidRPr="009F7C4D" w:rsidRDefault="000F141A">
      <w:pPr>
        <w:spacing w:before="240" w:after="240" w:line="480" w:lineRule="auto"/>
        <w:ind w:firstLine="720"/>
        <w:rPr>
          <w:rFonts w:ascii="Calibri" w:eastAsia="Times New Roman" w:hAnsi="Calibri" w:cs="Calibri"/>
          <w:sz w:val="24"/>
          <w:szCs w:val="24"/>
        </w:rPr>
      </w:pPr>
      <w:proofErr w:type="spellStart"/>
      <w:r w:rsidRPr="009F7C4D">
        <w:rPr>
          <w:rFonts w:ascii="Calibri" w:eastAsia="Times New Roman" w:hAnsi="Calibri" w:cs="Calibri"/>
          <w:color w:val="222222"/>
          <w:highlight w:val="white"/>
        </w:rPr>
        <w:t>Winterman</w:t>
      </w:r>
      <w:proofErr w:type="spellEnd"/>
      <w:r w:rsidRPr="009F7C4D">
        <w:rPr>
          <w:rFonts w:ascii="Calibri" w:eastAsia="Times New Roman" w:hAnsi="Calibri" w:cs="Calibri"/>
          <w:color w:val="222222"/>
          <w:highlight w:val="white"/>
        </w:rPr>
        <w:t xml:space="preserve">, B., Donovan, C., &amp; Slough, R. (2011). Information literacy for multiple disciplines: Toward a campus-wide integration model at Indiana University, Bloomington. </w:t>
      </w:r>
      <w:r w:rsidRPr="009F7C4D">
        <w:rPr>
          <w:rFonts w:ascii="Calibri" w:eastAsia="Times New Roman" w:hAnsi="Calibri" w:cs="Calibri"/>
          <w:i/>
          <w:color w:val="222222"/>
          <w:highlight w:val="white"/>
        </w:rPr>
        <w:t>Communications in Information Literacy</w:t>
      </w:r>
      <w:r w:rsidRPr="009F7C4D">
        <w:rPr>
          <w:rFonts w:ascii="Calibri" w:eastAsia="Times New Roman" w:hAnsi="Calibri" w:cs="Calibri"/>
          <w:color w:val="222222"/>
          <w:highlight w:val="white"/>
        </w:rPr>
        <w:t xml:space="preserve">, </w:t>
      </w:r>
      <w:r w:rsidRPr="009F7C4D">
        <w:rPr>
          <w:rFonts w:ascii="Calibri" w:eastAsia="Times New Roman" w:hAnsi="Calibri" w:cs="Calibri"/>
          <w:i/>
          <w:color w:val="222222"/>
          <w:highlight w:val="white"/>
        </w:rPr>
        <w:t>5</w:t>
      </w:r>
      <w:r w:rsidRPr="009F7C4D">
        <w:rPr>
          <w:rFonts w:ascii="Calibri" w:eastAsia="Times New Roman" w:hAnsi="Calibri" w:cs="Calibri"/>
          <w:color w:val="222222"/>
          <w:highlight w:val="white"/>
        </w:rPr>
        <w:t>(1), 5.</w:t>
      </w:r>
    </w:p>
    <w:p w14:paraId="0000014A" w14:textId="77777777" w:rsidR="00254ABF" w:rsidRDefault="000F141A">
      <w:pPr>
        <w:spacing w:before="240" w:after="240" w:line="480" w:lineRule="auto"/>
        <w:ind w:firstLine="720"/>
        <w:rPr>
          <w:rFonts w:ascii="Times New Roman" w:eastAsia="Times New Roman" w:hAnsi="Times New Roman" w:cs="Times New Roman"/>
        </w:rPr>
      </w:pPr>
      <w:r w:rsidRPr="009F7C4D">
        <w:rPr>
          <w:rFonts w:ascii="Calibri" w:eastAsia="Times New Roman" w:hAnsi="Calibri" w:cs="Calibri"/>
        </w:rPr>
        <w:t xml:space="preserve">University System of Georgia (2017). Redesign the Gen Ed Curriculum. Retrieved from   </w:t>
      </w:r>
      <w:hyperlink r:id="rId16">
        <w:r w:rsidRPr="009F7C4D">
          <w:rPr>
            <w:rFonts w:ascii="Calibri" w:eastAsia="Times New Roman" w:hAnsi="Calibri" w:cs="Calibri"/>
            <w:color w:val="1155CC"/>
            <w:u w:val="single"/>
          </w:rPr>
          <w:t>https://www.usg.edu/assets/redesigned_gen_ed/Documents/General_Education_Proposal.pdf</w:t>
        </w:r>
      </w:hyperlink>
      <w:r>
        <w:rPr>
          <w:rFonts w:ascii="Times New Roman" w:eastAsia="Times New Roman" w:hAnsi="Times New Roman" w:cs="Times New Roman"/>
        </w:rPr>
        <w:t>.</w:t>
      </w:r>
    </w:p>
    <w:p w14:paraId="0000014F" w14:textId="77777777" w:rsidR="00254ABF" w:rsidRDefault="00254ABF">
      <w:pPr>
        <w:spacing w:before="240" w:after="240" w:line="480" w:lineRule="auto"/>
        <w:ind w:firstLine="720"/>
        <w:rPr>
          <w:rFonts w:ascii="Times New Roman" w:eastAsia="Times New Roman" w:hAnsi="Times New Roman" w:cs="Times New Roman"/>
        </w:rPr>
      </w:pPr>
    </w:p>
    <w:p w14:paraId="00000150" w14:textId="77777777" w:rsidR="00254ABF" w:rsidRPr="009F7C4D" w:rsidRDefault="000F141A">
      <w:pPr>
        <w:spacing w:before="240" w:after="240" w:line="480" w:lineRule="auto"/>
        <w:jc w:val="center"/>
        <w:rPr>
          <w:rFonts w:ascii="Calibri Light" w:eastAsia="Times New Roman" w:hAnsi="Calibri Light" w:cs="Calibri Light"/>
          <w:b/>
          <w:bCs/>
          <w:sz w:val="32"/>
          <w:szCs w:val="32"/>
        </w:rPr>
      </w:pPr>
      <w:r w:rsidRPr="009F7C4D">
        <w:rPr>
          <w:rFonts w:ascii="Calibri Light" w:eastAsia="Times New Roman" w:hAnsi="Calibri Light" w:cs="Calibri Light"/>
          <w:b/>
          <w:bCs/>
          <w:sz w:val="32"/>
          <w:szCs w:val="32"/>
        </w:rPr>
        <w:lastRenderedPageBreak/>
        <w:t xml:space="preserve">Appendix </w:t>
      </w:r>
    </w:p>
    <w:p w14:paraId="00000151" w14:textId="77777777" w:rsidR="00254ABF" w:rsidRDefault="00254ABF">
      <w:pPr>
        <w:spacing w:before="240" w:after="240" w:line="480" w:lineRule="auto"/>
        <w:jc w:val="center"/>
        <w:rPr>
          <w:rFonts w:ascii="Times New Roman" w:eastAsia="Times New Roman" w:hAnsi="Times New Roman" w:cs="Times New Roman"/>
        </w:rPr>
      </w:pPr>
    </w:p>
    <w:p w14:paraId="00000152" w14:textId="77777777" w:rsidR="00254ABF" w:rsidRPr="009F7C4D" w:rsidRDefault="000F141A">
      <w:pPr>
        <w:spacing w:before="240" w:after="240" w:line="480" w:lineRule="auto"/>
        <w:rPr>
          <w:rFonts w:ascii="Calibri Light" w:eastAsia="Times New Roman" w:hAnsi="Calibri Light" w:cs="Calibri Light"/>
        </w:rPr>
      </w:pPr>
      <w:r w:rsidRPr="009F7C4D">
        <w:rPr>
          <w:rFonts w:ascii="Calibri Light" w:eastAsia="Times New Roman" w:hAnsi="Calibri Light" w:cs="Calibri Light"/>
        </w:rPr>
        <w:t>Appendix A</w:t>
      </w:r>
    </w:p>
    <w:p w14:paraId="00000153" w14:textId="77777777" w:rsidR="00254ABF" w:rsidRDefault="000F141A">
      <w:pPr>
        <w:spacing w:before="240" w:after="240" w:line="480" w:lineRule="auto"/>
        <w:rPr>
          <w:rFonts w:ascii="Times New Roman" w:eastAsia="Times New Roman" w:hAnsi="Times New Roman" w:cs="Times New Roman"/>
        </w:rPr>
      </w:pPr>
      <w:r>
        <w:rPr>
          <w:rFonts w:ascii="Times New Roman" w:eastAsia="Times New Roman" w:hAnsi="Times New Roman" w:cs="Times New Roman"/>
          <w:noProof/>
        </w:rPr>
        <w:drawing>
          <wp:inline distT="114300" distB="114300" distL="114300" distR="114300" wp14:anchorId="2FC9A7D1" wp14:editId="07777777">
            <wp:extent cx="5943600" cy="31242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7"/>
                    <a:srcRect/>
                    <a:stretch>
                      <a:fillRect/>
                    </a:stretch>
                  </pic:blipFill>
                  <pic:spPr>
                    <a:xfrm>
                      <a:off x="0" y="0"/>
                      <a:ext cx="5943600" cy="3124200"/>
                    </a:xfrm>
                    <a:prstGeom prst="rect">
                      <a:avLst/>
                    </a:prstGeom>
                    <a:ln/>
                  </pic:spPr>
                </pic:pic>
              </a:graphicData>
            </a:graphic>
          </wp:inline>
        </w:drawing>
      </w:r>
    </w:p>
    <w:p w14:paraId="00000154" w14:textId="77777777" w:rsidR="00254ABF" w:rsidRPr="009F7C4D" w:rsidRDefault="000F141A">
      <w:pPr>
        <w:spacing w:before="240" w:after="240" w:line="480" w:lineRule="auto"/>
        <w:ind w:firstLine="720"/>
        <w:rPr>
          <w:rFonts w:ascii="Calibri" w:eastAsia="Times New Roman" w:hAnsi="Calibri" w:cs="Calibri"/>
        </w:rPr>
      </w:pPr>
      <w:r w:rsidRPr="009F7C4D">
        <w:rPr>
          <w:rFonts w:ascii="Calibri" w:eastAsia="Times New Roman" w:hAnsi="Calibri" w:cs="Calibri"/>
        </w:rPr>
        <w:t xml:space="preserve">(University System of Georgia, 2017). </w:t>
      </w:r>
    </w:p>
    <w:p w14:paraId="00000155" w14:textId="77777777" w:rsidR="00254ABF" w:rsidRDefault="00254ABF">
      <w:pPr>
        <w:spacing w:before="240" w:after="240" w:line="480" w:lineRule="auto"/>
        <w:ind w:firstLine="720"/>
        <w:rPr>
          <w:rFonts w:ascii="Times New Roman" w:eastAsia="Times New Roman" w:hAnsi="Times New Roman" w:cs="Times New Roman"/>
        </w:rPr>
      </w:pPr>
    </w:p>
    <w:sectPr w:rsidR="00254AB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93E6C"/>
    <w:multiLevelType w:val="multilevel"/>
    <w:tmpl w:val="F78090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4ABF"/>
    <w:rsid w:val="000F141A"/>
    <w:rsid w:val="00254ABF"/>
    <w:rsid w:val="005D2E4B"/>
    <w:rsid w:val="009F7C4D"/>
    <w:rsid w:val="00D7599B"/>
    <w:rsid w:val="00F41B63"/>
    <w:rsid w:val="0E976A65"/>
    <w:rsid w:val="1A122B22"/>
    <w:rsid w:val="1E0580C1"/>
    <w:rsid w:val="2180E982"/>
    <w:rsid w:val="239DBFCD"/>
    <w:rsid w:val="43C80671"/>
    <w:rsid w:val="755A07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95A26"/>
  <w15:docId w15:val="{1592E2E8-DE3C-7545-89B6-805D10C27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0F141A"/>
    <w:rPr>
      <w:b/>
      <w:bCs/>
    </w:rPr>
  </w:style>
  <w:style w:type="character" w:customStyle="1" w:styleId="CommentSubjectChar">
    <w:name w:val="Comment Subject Char"/>
    <w:basedOn w:val="CommentTextChar"/>
    <w:link w:val="CommentSubject"/>
    <w:uiPriority w:val="99"/>
    <w:semiHidden/>
    <w:rsid w:val="000F141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nam04.safelinks.protection.outlook.com/?url=https%3A%2F%2Fwww.usg.edu%2Fresearch%2Fusgbythenumbers&amp;data=04%7C01%7Claura.clark%40abac.edu%7C1675c39a5db94c8a0f8508d9424ce263%7C56c9143594114ebda73c604ed67ee5a3%7C0%7C0%7C637613720318566398%7CUnknown%7CTWFpbGZsb3d8eyJWIjoiMC4wLjAwMDAiLCJQIjoiV2luMzIiLCJBTiI6Ik1haWwiLCJXVCI6Mn0%3D%7C1000&amp;sdata=NXBFER6GNLYOUoqeH2VXuqaBWoylVCZvGI3%2BnFS3mgY%3D&amp;reserved=0" TargetMode="Externa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hyperlink" Target="https://nam04.safelinks.protection.outlook.com/?url=https%3A%2F%2Fwww.usg.edu%2Fresearch%2Fusgbythenumbers&amp;data=04%7C01%7Claura.clark%40abac.edu%7C1675c39a5db94c8a0f8508d9424ce263%7C56c9143594114ebda73c604ed67ee5a3%7C0%7C0%7C637613720318566398%7CUnknown%7CTWFpbGZsb3d8eyJWIjoiMC4wLjAwMDAiLCJQIjoiV2luMzIiLCJBTiI6Ik1haWwiLCJXVCI6Mn0%3D%7C1000&amp;sdata=NXBFER6GNLYOUoqeH2VXuqaBWoylVCZvGI3%2BnFS3mgY%3D&amp;reserved=0" TargetMode="External"/><Relationship Id="rId12" Type="http://schemas.openxmlformats.org/officeDocument/2006/relationships/hyperlink" Target="https://nam04.safelinks.protection.outlook.com/?url=http%3A%2F%2Fwww.usg.edu%2F&amp;data=04%7C01%7Claura.clark%40abac.edu%7C1675c39a5db94c8a0f8508d9424ce263%7C56c9143594114ebda73c604ed67ee5a3%7C0%7C0%7C637613720318576392%7CUnknown%7CTWFpbGZsb3d8eyJWIjoiMC4wLjAwMDAiLCJQIjoiV2luMzIiLCJBTiI6Ik1haWwiLCJXVCI6Mn0%3D%7C1000&amp;sdata=GpztXyn76TYhM6ijQ3j2WLbASfBdHor6PzmJ%2FVerQc4%3D&amp;reserved=0"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www.usg.edu/assets/redesigned_gen_ed/Documents/General_Education_Proposal.pdf" TargetMode="Externa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hyperlink" Target="https://www.usg.edu/redesigned_general_education" TargetMode="External"/><Relationship Id="rId11" Type="http://schemas.openxmlformats.org/officeDocument/2006/relationships/hyperlink" Target="https://nam04.safelinks.protection.outlook.com/?url=http%3A%2F%2Fwww.usg.edu%2F&amp;data=04%7C01%7Claura.clark%40abac.edu%7C1675c39a5db94c8a0f8508d9424ce263%7C56c9143594114ebda73c604ed67ee5a3%7C0%7C0%7C637613720318576392%7CUnknown%7CTWFpbGZsb3d8eyJWIjoiMC4wLjAwMDAiLCJQIjoiV2luMzIiLCJBTiI6Ik1haWwiLCJXVCI6Mn0%3D%7C1000&amp;sdata=GpztXyn76TYhM6ijQ3j2WLbASfBdHor6PzmJ%2FVerQc4%3D&amp;reserved=0" TargetMode="External"/><Relationship Id="rId5" Type="http://schemas.openxmlformats.org/officeDocument/2006/relationships/webSettings" Target="webSettings.xml"/><Relationship Id="rId15" Type="http://schemas.openxmlformats.org/officeDocument/2006/relationships/hyperlink" Target="https://doi.org/10.5206/cjsotl-rcacea.2020.2.9472" TargetMode="External"/><Relationship Id="rId10" Type="http://schemas.openxmlformats.org/officeDocument/2006/relationships/hyperlink" Target="https://nam04.safelinks.protection.outlook.com/?url=https%3A%2F%2Fwww.usg.edu%2Fresearch%2Fusgbythenumbers&amp;data=04%7C01%7Claura.clark%40abac.edu%7C1675c39a5db94c8a0f8508d9424ce263%7C56c9143594114ebda73c604ed67ee5a3%7C0%7C0%7C637613720318576392%7CUnknown%7CTWFpbGZsb3d8eyJWIjoiMC4wLjAwMDAiLCJQIjoiV2luMzIiLCJBTiI6Ik1haWwiLCJXVCI6Mn0%3D%7C1000&amp;sdata=0bIiuxB6pea2iQpqh%2FS8yrmpTP%2Bbi8jCf1Hc6cN4bVc%3D&amp;reserved=0"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am04.safelinks.protection.outlook.com/?url=https%3A%2F%2Fwww.usg.edu%2Fresearch%2Fusgbythenumbers&amp;data=04%7C01%7Claura.clark%40abac.edu%7C1675c39a5db94c8a0f8508d9424ce263%7C56c9143594114ebda73c604ed67ee5a3%7C0%7C0%7C637613720318576392%7CUnknown%7CTWFpbGZsb3d8eyJWIjoiMC4wLjAwMDAiLCJQIjoiV2luMzIiLCJBTiI6Ik1haWwiLCJXVCI6Mn0%3D%7C1000&amp;sdata=0bIiuxB6pea2iQpqh%2FS8yrmpTP%2Bbi8jCf1Hc6cN4bVc%3D&amp;reserved=0" TargetMode="External"/><Relationship Id="rId14" Type="http://schemas.openxmlformats.org/officeDocument/2006/relationships/image" Target="media/image2.png"/><Relationship Id="rId22"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718BD1BC-1510-0242-B784-D1C09B2C2005}">
  <ds:schemaRefs>
    <ds:schemaRef ds:uri="http://schemas.openxmlformats.org/officeDocument/2006/bibliography"/>
  </ds:schemaRefs>
</ds:datastoreItem>
</file>

<file path=customXml/itemProps2.xml><?xml version="1.0" encoding="utf-8"?>
<ds:datastoreItem xmlns:ds="http://schemas.openxmlformats.org/officeDocument/2006/customXml" ds:itemID="{F57E0FCF-FA20-46ED-B76E-805479D26EB1}"/>
</file>

<file path=customXml/itemProps3.xml><?xml version="1.0" encoding="utf-8"?>
<ds:datastoreItem xmlns:ds="http://schemas.openxmlformats.org/officeDocument/2006/customXml" ds:itemID="{5FBEE63A-56AD-4D15-9DFC-5AE6B5666656}"/>
</file>

<file path=customXml/itemProps4.xml><?xml version="1.0" encoding="utf-8"?>
<ds:datastoreItem xmlns:ds="http://schemas.openxmlformats.org/officeDocument/2006/customXml" ds:itemID="{CA08AC7D-716B-4869-BD8C-DE283EC9A987}"/>
</file>

<file path=docProps/app.xml><?xml version="1.0" encoding="utf-8"?>
<Properties xmlns="http://schemas.openxmlformats.org/officeDocument/2006/extended-properties" xmlns:vt="http://schemas.openxmlformats.org/officeDocument/2006/docPropsVTypes">
  <Template>Normal.dotm</Template>
  <TotalTime>0</TotalTime>
  <Pages>22</Pages>
  <Words>4725</Words>
  <Characters>26936</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Laura Clark Hunt</cp:lastModifiedBy>
  <cp:revision>2</cp:revision>
  <dcterms:created xsi:type="dcterms:W3CDTF">2021-11-30T18:15:00Z</dcterms:created>
  <dcterms:modified xsi:type="dcterms:W3CDTF">2021-11-30T18:15:00Z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